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42E" w:rsidRDefault="009A342E" w:rsidP="009A342E">
      <w:pPr>
        <w:pStyle w:val="HeadingThree"/>
      </w:pPr>
      <w:bookmarkStart w:id="0" w:name="_Toc178784305"/>
      <w:r>
        <w:t>HORIZON-CL6-2025-02-FARM2FORK-14: Raising citizen awareness on alternative proteins derived from biotechnology</w:t>
      </w:r>
      <w:bookmarkEnd w:id="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3"/>
        <w:gridCol w:w="6979"/>
      </w:tblGrid>
      <w:tr w:rsidR="009A342E" w:rsidTr="006C50DA">
        <w:tc>
          <w:tcPr>
            <w:tcW w:w="0" w:type="auto"/>
            <w:gridSpan w:val="2"/>
          </w:tcPr>
          <w:p w:rsidR="009A342E" w:rsidRDefault="009A342E" w:rsidP="006C50DA">
            <w:pPr>
              <w:pStyle w:val="CellTextValue"/>
            </w:pPr>
            <w:r>
              <w:rPr>
                <w:b/>
              </w:rPr>
              <w:t>Call: Cluster 6 Call 02</w:t>
            </w:r>
          </w:p>
        </w:tc>
      </w:tr>
      <w:tr w:rsidR="009A342E" w:rsidTr="006C50DA">
        <w:tc>
          <w:tcPr>
            <w:tcW w:w="0" w:type="auto"/>
            <w:gridSpan w:val="2"/>
          </w:tcPr>
          <w:p w:rsidR="009A342E" w:rsidRDefault="009A342E" w:rsidP="006C50DA">
            <w:pPr>
              <w:pStyle w:val="CellTextValue"/>
            </w:pPr>
            <w:r>
              <w:rPr>
                <w:b/>
              </w:rPr>
              <w:t>Specific conditions</w:t>
            </w:r>
          </w:p>
        </w:tc>
      </w:tr>
      <w:tr w:rsidR="009A342E" w:rsidTr="006C50DA">
        <w:tc>
          <w:tcPr>
            <w:tcW w:w="0" w:type="auto"/>
          </w:tcPr>
          <w:p w:rsidR="009A342E" w:rsidRDefault="009A342E" w:rsidP="006C50DA">
            <w:pPr>
              <w:pStyle w:val="CellTextValue"/>
              <w:jc w:val="left"/>
            </w:pPr>
            <w:r>
              <w:rPr>
                <w:i/>
              </w:rPr>
              <w:t>Expected EU contribution per project</w:t>
            </w:r>
          </w:p>
        </w:tc>
        <w:tc>
          <w:tcPr>
            <w:tcW w:w="0" w:type="auto"/>
          </w:tcPr>
          <w:p w:rsidR="009A342E" w:rsidRDefault="009A342E" w:rsidP="006C50DA">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9A342E" w:rsidTr="006C50DA">
        <w:tc>
          <w:tcPr>
            <w:tcW w:w="0" w:type="auto"/>
          </w:tcPr>
          <w:p w:rsidR="009A342E" w:rsidRDefault="009A342E" w:rsidP="006C50DA">
            <w:pPr>
              <w:pStyle w:val="CellTextValue"/>
              <w:jc w:val="left"/>
            </w:pPr>
            <w:r>
              <w:rPr>
                <w:i/>
              </w:rPr>
              <w:t>Indicative budget</w:t>
            </w:r>
          </w:p>
        </w:tc>
        <w:tc>
          <w:tcPr>
            <w:tcW w:w="0" w:type="auto"/>
          </w:tcPr>
          <w:p w:rsidR="009A342E" w:rsidRDefault="009A342E" w:rsidP="006C50DA">
            <w:pPr>
              <w:pStyle w:val="CellTextValue"/>
            </w:pPr>
            <w:r>
              <w:t>The total indicative budget for the topic is EUR 2.00 million.</w:t>
            </w:r>
          </w:p>
        </w:tc>
      </w:tr>
      <w:tr w:rsidR="009A342E" w:rsidTr="006C50DA">
        <w:tc>
          <w:tcPr>
            <w:tcW w:w="0" w:type="auto"/>
          </w:tcPr>
          <w:p w:rsidR="009A342E" w:rsidRDefault="009A342E" w:rsidP="006C50DA">
            <w:pPr>
              <w:pStyle w:val="CellTextValue"/>
              <w:jc w:val="left"/>
            </w:pPr>
            <w:r>
              <w:rPr>
                <w:i/>
              </w:rPr>
              <w:t>Type of Action</w:t>
            </w:r>
          </w:p>
        </w:tc>
        <w:tc>
          <w:tcPr>
            <w:tcW w:w="0" w:type="auto"/>
          </w:tcPr>
          <w:p w:rsidR="009A342E" w:rsidRDefault="009A342E" w:rsidP="006C50DA">
            <w:pPr>
              <w:pStyle w:val="CellTextValue"/>
            </w:pPr>
            <w:r>
              <w:rPr>
                <w:color w:val="000000"/>
              </w:rPr>
              <w:t>Coordination and Support Actions</w:t>
            </w:r>
          </w:p>
        </w:tc>
      </w:tr>
      <w:tr w:rsidR="009A342E" w:rsidTr="006C50DA">
        <w:tc>
          <w:tcPr>
            <w:tcW w:w="0" w:type="auto"/>
          </w:tcPr>
          <w:p w:rsidR="009A342E" w:rsidRDefault="009A342E" w:rsidP="006C50DA">
            <w:pPr>
              <w:pStyle w:val="CellTextValue"/>
              <w:jc w:val="left"/>
            </w:pPr>
            <w:r>
              <w:rPr>
                <w:i/>
              </w:rPr>
              <w:t>Eligibility conditions</w:t>
            </w:r>
          </w:p>
        </w:tc>
        <w:tc>
          <w:tcPr>
            <w:tcW w:w="0" w:type="auto"/>
          </w:tcPr>
          <w:p w:rsidR="009A342E" w:rsidRDefault="009A342E" w:rsidP="006C50DA">
            <w:pPr>
              <w:pStyle w:val="CellTextValue"/>
            </w:pPr>
            <w:r>
              <w:rPr>
                <w:color w:val="000000"/>
              </w:rPr>
              <w:t>The conditions are described in General Annex B. The following exceptions apply:</w:t>
            </w:r>
          </w:p>
          <w:p w:rsidR="009A342E" w:rsidRDefault="009A342E" w:rsidP="006C50DA">
            <w:pPr>
              <w:pStyle w:val="CellTextValue"/>
            </w:pPr>
            <w:r>
              <w:rPr>
                <w:color w:val="000000"/>
              </w:rPr>
              <w:t>The following additional eligibility criteria apply: the proposals must apply the multi-actor approach. See definition of the multi-actor approach in the introduction to this work programme part.</w:t>
            </w:r>
          </w:p>
        </w:tc>
      </w:tr>
      <w:tr w:rsidR="009A342E" w:rsidTr="006C50DA">
        <w:tc>
          <w:tcPr>
            <w:tcW w:w="0" w:type="auto"/>
          </w:tcPr>
          <w:p w:rsidR="009A342E" w:rsidRDefault="009A342E" w:rsidP="006C50DA">
            <w:pPr>
              <w:pStyle w:val="CellTextValue"/>
              <w:jc w:val="left"/>
            </w:pPr>
            <w:r>
              <w:rPr>
                <w:i/>
              </w:rPr>
              <w:t>Legal and financial set-up of the Grant Agreements</w:t>
            </w:r>
          </w:p>
        </w:tc>
        <w:tc>
          <w:tcPr>
            <w:tcW w:w="0" w:type="auto"/>
          </w:tcPr>
          <w:p w:rsidR="009A342E" w:rsidRDefault="009A342E" w:rsidP="006C50DA">
            <w:pPr>
              <w:pStyle w:val="CellTextValue"/>
            </w:pPr>
            <w:r>
              <w:rPr>
                <w:color w:val="000000"/>
              </w:rPr>
              <w:t>The rules are described in General Annex G. The following exceptions apply:</w:t>
            </w:r>
          </w:p>
          <w:p w:rsidR="009A342E" w:rsidRDefault="009A342E" w:rsidP="006C50DA">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
            </w:r>
            <w:r>
              <w:rPr>
                <w:color w:val="000000"/>
              </w:rPr>
              <w:t>.</w:t>
            </w:r>
          </w:p>
        </w:tc>
      </w:tr>
    </w:tbl>
    <w:p w:rsidR="009A342E" w:rsidRDefault="009A342E" w:rsidP="009A342E">
      <w:pPr>
        <w:spacing w:after="0" w:line="150" w:lineRule="auto"/>
      </w:pPr>
    </w:p>
    <w:p w:rsidR="009A342E" w:rsidRDefault="009A342E" w:rsidP="009A342E">
      <w:r>
        <w:rPr>
          <w:u w:val="single"/>
        </w:rPr>
        <w:t>Expected Outcome</w:t>
      </w:r>
      <w:r>
        <w:t xml:space="preserve">: </w:t>
      </w:r>
      <w:r>
        <w:rPr>
          <w:color w:val="000000"/>
        </w:rPr>
        <w:t>In line with Food 2030 R&amp;I initiative</w:t>
      </w:r>
      <w:r>
        <w:rPr>
          <w:vertAlign w:val="superscript"/>
        </w:rPr>
        <w:footnoteReference w:id="2"/>
      </w:r>
      <w:r>
        <w:rPr>
          <w:color w:val="000000"/>
        </w:rPr>
        <w:t xml:space="preserve"> and the Commission communication on Building the future with nature: Boosting Biotechnology and Biomanufacturing in the EU</w:t>
      </w:r>
      <w:r>
        <w:rPr>
          <w:vertAlign w:val="superscript"/>
        </w:rPr>
        <w:footnoteReference w:id="3"/>
      </w:r>
      <w:r>
        <w:rPr>
          <w:color w:val="000000"/>
        </w:rPr>
        <w:t>, the successful proposal will empower citizens to make informed decisions regarding alternative proteins sources derived from biotechnology</w:t>
      </w:r>
      <w:r>
        <w:rPr>
          <w:vertAlign w:val="superscript"/>
        </w:rPr>
        <w:footnoteReference w:id="4"/>
      </w:r>
      <w:r>
        <w:rPr>
          <w:color w:val="000000"/>
        </w:rPr>
        <w:t xml:space="preserve"> and increase the awareness of the impact of such </w:t>
      </w:r>
      <w:r>
        <w:rPr>
          <w:color w:val="000000"/>
        </w:rPr>
        <w:lastRenderedPageBreak/>
        <w:t>dietary shift (sustainability and health-related impacts). The successful proposal will also strengthen education, communication awareness and access to information on alternative proteins and contribute to and informed understanding and acceptance of the public of the use of biotechnologies in the food sector.</w:t>
      </w:r>
    </w:p>
    <w:p w:rsidR="009A342E" w:rsidRDefault="009A342E" w:rsidP="009A342E">
      <w:r>
        <w:rPr>
          <w:color w:val="000000"/>
        </w:rPr>
        <w:t>Project results are expected to contribute to all the following expected outcomes:</w:t>
      </w:r>
    </w:p>
    <w:p w:rsidR="009A342E" w:rsidRDefault="009A342E" w:rsidP="009A342E">
      <w:pPr>
        <w:pStyle w:val="Paragraphedeliste"/>
        <w:numPr>
          <w:ilvl w:val="0"/>
          <w:numId w:val="1"/>
        </w:numPr>
      </w:pPr>
      <w:r>
        <w:rPr>
          <w:color w:val="000000"/>
        </w:rPr>
        <w:t>improved scientific knowledge at national, regional and local levels on the use of different biotechnology applications for food and food ingredients;</w:t>
      </w:r>
    </w:p>
    <w:p w:rsidR="009A342E" w:rsidRDefault="009A342E" w:rsidP="009A342E">
      <w:pPr>
        <w:pStyle w:val="Paragraphedeliste"/>
        <w:numPr>
          <w:ilvl w:val="0"/>
          <w:numId w:val="1"/>
        </w:numPr>
      </w:pPr>
      <w:r>
        <w:rPr>
          <w:color w:val="000000"/>
        </w:rPr>
        <w:t>improved communication and understanding of the social and economic aspects as well as of the environmental impact of the use of alternative protein sources derived from biotechnology;</w:t>
      </w:r>
    </w:p>
    <w:p w:rsidR="009A342E" w:rsidRDefault="009A342E" w:rsidP="009A342E">
      <w:pPr>
        <w:pStyle w:val="Paragraphedeliste"/>
        <w:numPr>
          <w:ilvl w:val="0"/>
          <w:numId w:val="1"/>
        </w:numPr>
      </w:pPr>
      <w:r>
        <w:rPr>
          <w:color w:val="000000"/>
        </w:rPr>
        <w:t>citizens’ awareness on the characteristics of alternative proteins, derived from biotechnology (such as precision fermentation) is enhanced through different communication tools at national, regional and local level;</w:t>
      </w:r>
    </w:p>
    <w:p w:rsidR="009A342E" w:rsidRDefault="009A342E" w:rsidP="009A342E">
      <w:pPr>
        <w:pStyle w:val="Paragraphedeliste"/>
        <w:numPr>
          <w:ilvl w:val="0"/>
          <w:numId w:val="1"/>
        </w:numPr>
      </w:pPr>
      <w:r>
        <w:rPr>
          <w:color w:val="000000"/>
        </w:rPr>
        <w:t xml:space="preserve">identified policy inconsistencies (e.g. public funds directed towards unsustainable/unhealthy foods despite Green Deal objectives) or regulatory issues limiting market uptake with a negative impact to the public. </w:t>
      </w:r>
    </w:p>
    <w:p w:rsidR="009A342E" w:rsidRDefault="009A342E" w:rsidP="009A342E">
      <w:r>
        <w:rPr>
          <w:u w:val="single"/>
        </w:rPr>
        <w:t>Scope</w:t>
      </w:r>
      <w:r>
        <w:t xml:space="preserve">: </w:t>
      </w:r>
      <w:r>
        <w:rPr>
          <w:color w:val="000000"/>
        </w:rPr>
        <w:t>The proposal is expected to help public understanding and awareness of the use of alternative proteins produced through biotechnology and to contribute to counteracting misinformation in this area. It will support as appropriate educational interventions and information dissemination on the transition towards diets based on alternative protein sources, in particular those derived from biotechnology. The proposal will also address which (new) food products offer market opportunities and where the potential of their production is and which accompanying measures (hygienic conditions, dissemination campaign, etc.) are necessary so that consumers are aware and open to include alternative proteins produced through biotechnology in their diets.</w:t>
      </w:r>
    </w:p>
    <w:p w:rsidR="009A342E" w:rsidRDefault="009A342E" w:rsidP="009A342E">
      <w:r>
        <w:rPr>
          <w:color w:val="000000"/>
        </w:rPr>
        <w:t>The proposal should address all the following activities:</w:t>
      </w:r>
    </w:p>
    <w:p w:rsidR="009A342E" w:rsidRDefault="009A342E" w:rsidP="009A342E">
      <w:pPr>
        <w:pStyle w:val="Paragraphedeliste"/>
        <w:numPr>
          <w:ilvl w:val="0"/>
          <w:numId w:val="2"/>
        </w:numPr>
      </w:pPr>
      <w:r>
        <w:rPr>
          <w:color w:val="000000"/>
        </w:rPr>
        <w:t>establish a collaborative science-based information programme to enable citizens understanding of the dietary shift towards alternative proteins produced from biotechnology by launching a survey on citizens consumption patterns and dietary choices;</w:t>
      </w:r>
    </w:p>
    <w:p w:rsidR="009A342E" w:rsidRDefault="009A342E" w:rsidP="009A342E">
      <w:pPr>
        <w:pStyle w:val="Paragraphedeliste"/>
        <w:numPr>
          <w:ilvl w:val="0"/>
          <w:numId w:val="2"/>
        </w:numPr>
      </w:pPr>
      <w:r>
        <w:rPr>
          <w:color w:val="000000"/>
        </w:rPr>
        <w:t>improve the transfer of scientific knowledge at different level (different actors and different territorial/geographical areas) with a collection of data on the perception, behaviours and understanding of citizens of alternative protein sources derived from different biotechnological applications;</w:t>
      </w:r>
    </w:p>
    <w:p w:rsidR="009A342E" w:rsidRDefault="009A342E" w:rsidP="009A342E">
      <w:pPr>
        <w:pStyle w:val="Paragraphedeliste"/>
        <w:numPr>
          <w:ilvl w:val="0"/>
          <w:numId w:val="2"/>
        </w:numPr>
      </w:pPr>
      <w:r>
        <w:rPr>
          <w:color w:val="000000"/>
        </w:rPr>
        <w:lastRenderedPageBreak/>
        <w:t>produce technical and dissemination material based on scientific evidence and knowledge, encompassing the technical and hygienic processing conditions for the production of alternative proteins through biotechnology and eventual consumption;</w:t>
      </w:r>
    </w:p>
    <w:p w:rsidR="009A342E" w:rsidRDefault="009A342E" w:rsidP="009A342E">
      <w:pPr>
        <w:pStyle w:val="Paragraphedeliste"/>
        <w:numPr>
          <w:ilvl w:val="0"/>
          <w:numId w:val="2"/>
        </w:numPr>
      </w:pPr>
      <w:r>
        <w:rPr>
          <w:color w:val="000000"/>
        </w:rPr>
        <w:t>provide recommendations for updating and improving educational curricula in schools and in other educational institutes as appropriate and in accordance with any applicable national, regional and local obligations;</w:t>
      </w:r>
    </w:p>
    <w:p w:rsidR="009A342E" w:rsidRDefault="009A342E" w:rsidP="009A342E">
      <w:pPr>
        <w:pStyle w:val="Paragraphedeliste"/>
        <w:numPr>
          <w:ilvl w:val="0"/>
          <w:numId w:val="2"/>
        </w:numPr>
      </w:pPr>
      <w:r>
        <w:rPr>
          <w:color w:val="000000"/>
        </w:rPr>
        <w:t xml:space="preserve">include the use of diverse communication media (e.g., social media, radio, TV, newspapers) to effectively disseminate information and engage with a broad audience. </w:t>
      </w:r>
    </w:p>
    <w:p w:rsidR="009A342E" w:rsidRDefault="009A342E" w:rsidP="009A342E">
      <w:r>
        <w:rPr>
          <w:color w:val="000000"/>
        </w:rPr>
        <w:t xml:space="preserve">The proposal should </w:t>
      </w:r>
      <w:proofErr w:type="gramStart"/>
      <w:r>
        <w:rPr>
          <w:color w:val="000000"/>
        </w:rPr>
        <w:t>take into account</w:t>
      </w:r>
      <w:proofErr w:type="gramEnd"/>
      <w:r>
        <w:rPr>
          <w:color w:val="000000"/>
        </w:rPr>
        <w:t xml:space="preserve"> the preliminary results developed by the project B-Trust </w:t>
      </w:r>
      <w:r>
        <w:rPr>
          <w:vertAlign w:val="superscript"/>
        </w:rPr>
        <w:footnoteReference w:id="5"/>
      </w:r>
      <w:r>
        <w:rPr>
          <w:color w:val="000000"/>
        </w:rPr>
        <w:t xml:space="preserve"> funded under Horizon Europe and take advantage of and connect to European research infrastructures in the area of biotechnology such as EU-IBISBA.</w:t>
      </w:r>
    </w:p>
    <w:p w:rsidR="009A342E" w:rsidRDefault="009A342E" w:rsidP="009A342E">
      <w:r>
        <w:rPr>
          <w:color w:val="000000"/>
        </w:rPr>
        <w:t>Particular efforts should be made to ensure that the data produced in the context of this topic is FAIR (Findable, Accessible, Interoperable and Re-usable).</w:t>
      </w:r>
    </w:p>
    <w:p w:rsidR="009A342E" w:rsidRDefault="009A342E" w:rsidP="009A342E">
      <w:r>
        <w:rPr>
          <w:color w:val="000000"/>
        </w:rPr>
        <w:t>The proposal should involve the effective contribution of SSH disciplines.</w:t>
      </w:r>
    </w:p>
    <w:p w:rsidR="009A342E" w:rsidRDefault="009A342E" w:rsidP="009A342E">
      <w:r>
        <w:rPr>
          <w:color w:val="000000"/>
        </w:rPr>
        <w:t>The proposal must implement the 'multi-actor approach' and ensure adequate involvement of all relevant stakeholders including citizens, civil society organisations, authorities, public and private institutes/institutions, value chain actors to ensure acceptability, awareness and deployment. The active participation and engagement of different stakeholders should span the entire project development and implementation to ensure performance and sustainability and maximise the final impact.</w:t>
      </w:r>
    </w:p>
    <w:p w:rsidR="009A342E" w:rsidRDefault="009A342E" w:rsidP="009A342E">
      <w:r>
        <w:rPr>
          <w:color w:val="000000"/>
        </w:rPr>
        <w:t>To maximise the impacts of R&amp;I, the collaboration with international partners in particular with US is encouraged.</w:t>
      </w:r>
    </w:p>
    <w:p w:rsidR="009A342E" w:rsidRDefault="009A342E" w:rsidP="009A342E">
      <w:r>
        <w:rPr>
          <w:color w:val="000000"/>
        </w:rPr>
        <w:t>The duration of the project should be maximum 36 months.</w:t>
      </w:r>
    </w:p>
    <w:p w:rsidR="009A342E" w:rsidRDefault="009A342E" w:rsidP="009A342E">
      <w:pPr>
        <w:pStyle w:val="HeadingThree"/>
      </w:pPr>
      <w:bookmarkStart w:id="1" w:name="_Toc178784306"/>
      <w:r>
        <w:t>HORIZON-CL6-2025-02-FARM2FORK-15: Nutrients produced by microbes utilising CO2 from the air, with the support of biotechnology</w:t>
      </w:r>
      <w:bookmarkEnd w:id="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0"/>
        <w:gridCol w:w="7052"/>
      </w:tblGrid>
      <w:tr w:rsidR="009A342E" w:rsidTr="006C50DA">
        <w:tc>
          <w:tcPr>
            <w:tcW w:w="0" w:type="auto"/>
            <w:gridSpan w:val="2"/>
          </w:tcPr>
          <w:p w:rsidR="009A342E" w:rsidRDefault="009A342E" w:rsidP="006C50DA">
            <w:pPr>
              <w:pStyle w:val="CellTextValue"/>
            </w:pPr>
            <w:r>
              <w:rPr>
                <w:b/>
              </w:rPr>
              <w:t>Call: Cluster 6 Call 02</w:t>
            </w:r>
          </w:p>
        </w:tc>
      </w:tr>
      <w:tr w:rsidR="009A342E" w:rsidTr="006C50DA">
        <w:tc>
          <w:tcPr>
            <w:tcW w:w="0" w:type="auto"/>
            <w:gridSpan w:val="2"/>
          </w:tcPr>
          <w:p w:rsidR="009A342E" w:rsidRDefault="009A342E" w:rsidP="006C50DA">
            <w:pPr>
              <w:pStyle w:val="CellTextValue"/>
            </w:pPr>
            <w:r>
              <w:rPr>
                <w:b/>
              </w:rPr>
              <w:t>Specific conditions</w:t>
            </w:r>
          </w:p>
        </w:tc>
      </w:tr>
      <w:tr w:rsidR="009A342E" w:rsidTr="006C50DA">
        <w:tc>
          <w:tcPr>
            <w:tcW w:w="0" w:type="auto"/>
          </w:tcPr>
          <w:p w:rsidR="009A342E" w:rsidRDefault="009A342E" w:rsidP="006C50DA">
            <w:pPr>
              <w:pStyle w:val="CellTextValue"/>
              <w:jc w:val="left"/>
            </w:pPr>
            <w:r>
              <w:rPr>
                <w:i/>
              </w:rPr>
              <w:t>Expected EU contribution per project</w:t>
            </w:r>
          </w:p>
        </w:tc>
        <w:tc>
          <w:tcPr>
            <w:tcW w:w="0" w:type="auto"/>
          </w:tcPr>
          <w:p w:rsidR="009A342E" w:rsidRDefault="009A342E" w:rsidP="006C50DA">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9A342E" w:rsidTr="006C50DA">
        <w:tc>
          <w:tcPr>
            <w:tcW w:w="0" w:type="auto"/>
          </w:tcPr>
          <w:p w:rsidR="009A342E" w:rsidRDefault="009A342E" w:rsidP="006C50DA">
            <w:pPr>
              <w:pStyle w:val="CellTextValue"/>
              <w:jc w:val="left"/>
            </w:pPr>
            <w:r>
              <w:rPr>
                <w:i/>
              </w:rPr>
              <w:lastRenderedPageBreak/>
              <w:t>Indicative budget</w:t>
            </w:r>
          </w:p>
        </w:tc>
        <w:tc>
          <w:tcPr>
            <w:tcW w:w="0" w:type="auto"/>
          </w:tcPr>
          <w:p w:rsidR="009A342E" w:rsidRDefault="009A342E" w:rsidP="006C50DA">
            <w:pPr>
              <w:pStyle w:val="CellTextValue"/>
            </w:pPr>
            <w:r>
              <w:t>The total indicative budget for the topic is EUR 12.00 million.</w:t>
            </w:r>
          </w:p>
        </w:tc>
      </w:tr>
      <w:tr w:rsidR="009A342E" w:rsidTr="006C50DA">
        <w:tc>
          <w:tcPr>
            <w:tcW w:w="0" w:type="auto"/>
          </w:tcPr>
          <w:p w:rsidR="009A342E" w:rsidRDefault="009A342E" w:rsidP="006C50DA">
            <w:pPr>
              <w:pStyle w:val="CellTextValue"/>
              <w:jc w:val="left"/>
            </w:pPr>
            <w:r>
              <w:rPr>
                <w:i/>
              </w:rPr>
              <w:t>Type of Action</w:t>
            </w:r>
          </w:p>
        </w:tc>
        <w:tc>
          <w:tcPr>
            <w:tcW w:w="0" w:type="auto"/>
          </w:tcPr>
          <w:p w:rsidR="009A342E" w:rsidRDefault="009A342E" w:rsidP="006C50DA">
            <w:pPr>
              <w:pStyle w:val="CellTextValue"/>
            </w:pPr>
            <w:r>
              <w:rPr>
                <w:color w:val="000000"/>
              </w:rPr>
              <w:t>Innovation Actions</w:t>
            </w:r>
          </w:p>
        </w:tc>
      </w:tr>
      <w:tr w:rsidR="009A342E" w:rsidTr="006C50DA">
        <w:tc>
          <w:tcPr>
            <w:tcW w:w="0" w:type="auto"/>
          </w:tcPr>
          <w:p w:rsidR="009A342E" w:rsidRDefault="009A342E" w:rsidP="006C50DA">
            <w:pPr>
              <w:pStyle w:val="CellTextValue"/>
              <w:jc w:val="left"/>
            </w:pPr>
            <w:r>
              <w:rPr>
                <w:i/>
              </w:rPr>
              <w:t>Eligibility conditions</w:t>
            </w:r>
          </w:p>
        </w:tc>
        <w:tc>
          <w:tcPr>
            <w:tcW w:w="0" w:type="auto"/>
          </w:tcPr>
          <w:p w:rsidR="009A342E" w:rsidRDefault="009A342E" w:rsidP="006C50DA">
            <w:pPr>
              <w:pStyle w:val="CellTextValue"/>
            </w:pPr>
            <w:r>
              <w:rPr>
                <w:color w:val="000000"/>
              </w:rPr>
              <w:t>The conditions are described in General Annex B. The following exceptions apply:</w:t>
            </w:r>
          </w:p>
          <w:p w:rsidR="009A342E" w:rsidRDefault="009A342E" w:rsidP="006C50DA">
            <w:pPr>
              <w:pStyle w:val="CellTextValue"/>
            </w:pPr>
            <w:r>
              <w:rPr>
                <w:color w:val="000000"/>
              </w:rPr>
              <w:t>The following additional eligibility criteria apply: the proposals must apply the multi-actor approach. See definition of the multi-actor approach in the introduction to this work programme part.</w:t>
            </w:r>
          </w:p>
        </w:tc>
      </w:tr>
      <w:tr w:rsidR="009A342E" w:rsidTr="006C50DA">
        <w:tc>
          <w:tcPr>
            <w:tcW w:w="0" w:type="auto"/>
          </w:tcPr>
          <w:p w:rsidR="009A342E" w:rsidRDefault="009A342E" w:rsidP="006C50DA">
            <w:pPr>
              <w:pStyle w:val="CellTextValue"/>
              <w:jc w:val="left"/>
            </w:pPr>
            <w:r>
              <w:rPr>
                <w:i/>
              </w:rPr>
              <w:t>Technology Readiness Level</w:t>
            </w:r>
          </w:p>
        </w:tc>
        <w:tc>
          <w:tcPr>
            <w:tcW w:w="0" w:type="auto"/>
          </w:tcPr>
          <w:p w:rsidR="009A342E" w:rsidRDefault="009A342E" w:rsidP="006C50DA">
            <w:pPr>
              <w:pStyle w:val="CellTextValue"/>
            </w:pPr>
            <w:r>
              <w:rPr>
                <w:color w:val="000000"/>
              </w:rPr>
              <w:t>Activities are expected to start from TRL 5 in order to achieve TRL 7 by the end of the project – see General Annex B.</w:t>
            </w:r>
          </w:p>
        </w:tc>
      </w:tr>
    </w:tbl>
    <w:p w:rsidR="009A342E" w:rsidRDefault="009A342E" w:rsidP="009A342E">
      <w:pPr>
        <w:spacing w:after="0" w:line="150" w:lineRule="auto"/>
      </w:pPr>
    </w:p>
    <w:p w:rsidR="009A342E" w:rsidRDefault="009A342E" w:rsidP="009A342E">
      <w:r>
        <w:rPr>
          <w:u w:val="single"/>
        </w:rPr>
        <w:t>Expected Outcome</w:t>
      </w:r>
      <w:r>
        <w:t xml:space="preserve">: </w:t>
      </w:r>
      <w:r>
        <w:rPr>
          <w:color w:val="000000"/>
        </w:rPr>
        <w:t>In line with Food 2030 R&amp;I initiative</w:t>
      </w:r>
      <w:r>
        <w:rPr>
          <w:vertAlign w:val="superscript"/>
        </w:rPr>
        <w:footnoteReference w:id="6"/>
      </w:r>
      <w:r>
        <w:rPr>
          <w:color w:val="000000"/>
        </w:rPr>
        <w:t xml:space="preserve"> and the Commission communication on: Building the future with nature: Boosting Biotechnology and Biomanufacturing in the EU</w:t>
      </w:r>
      <w:r>
        <w:rPr>
          <w:vertAlign w:val="superscript"/>
        </w:rPr>
        <w:footnoteReference w:id="7"/>
      </w:r>
      <w:r>
        <w:rPr>
          <w:color w:val="000000"/>
        </w:rPr>
        <w:t>, the successful proposal will address the application of the precision fermentation through microbes genetically engineered and will contribute to safer food systems. It will also promote innovation through creation of new start-up companies in the field of food production via biotechnology. The outcomes will foster EU strategic autonomy and leadership in delivering innovative nutrient production processes through business models for food applications in industrial plants and SMEs.</w:t>
      </w:r>
    </w:p>
    <w:p w:rsidR="009A342E" w:rsidRDefault="009A342E" w:rsidP="009A342E">
      <w:r>
        <w:rPr>
          <w:color w:val="000000"/>
        </w:rPr>
        <w:t>Project results are expected to contribute to all the following expected outcomes:</w:t>
      </w:r>
    </w:p>
    <w:p w:rsidR="009A342E" w:rsidRDefault="009A342E" w:rsidP="009A342E">
      <w:pPr>
        <w:pStyle w:val="Paragraphedeliste"/>
        <w:numPr>
          <w:ilvl w:val="0"/>
          <w:numId w:val="3"/>
        </w:numPr>
      </w:pPr>
      <w:r>
        <w:rPr>
          <w:color w:val="000000"/>
        </w:rPr>
        <w:t>improved analysis of the costs and resource-efficiency of bioreactors and upstream and downstream processing is carried out;</w:t>
      </w:r>
    </w:p>
    <w:p w:rsidR="009A342E" w:rsidRDefault="009A342E" w:rsidP="009A342E">
      <w:pPr>
        <w:pStyle w:val="Paragraphedeliste"/>
        <w:numPr>
          <w:ilvl w:val="0"/>
          <w:numId w:val="3"/>
        </w:numPr>
      </w:pPr>
      <w:r>
        <w:rPr>
          <w:color w:val="000000"/>
        </w:rPr>
        <w:t>better understanding of the environmental impact resulting from the reduction of CO</w:t>
      </w:r>
      <w:r>
        <w:rPr>
          <w:color w:val="000000"/>
          <w:vertAlign w:val="subscript"/>
        </w:rPr>
        <w:t xml:space="preserve">2 </w:t>
      </w:r>
      <w:r>
        <w:rPr>
          <w:color w:val="000000"/>
        </w:rPr>
        <w:t>in the air;</w:t>
      </w:r>
    </w:p>
    <w:p w:rsidR="009A342E" w:rsidRDefault="009A342E" w:rsidP="009A342E">
      <w:pPr>
        <w:pStyle w:val="Paragraphedeliste"/>
        <w:numPr>
          <w:ilvl w:val="0"/>
          <w:numId w:val="3"/>
        </w:numPr>
      </w:pPr>
      <w:r>
        <w:rPr>
          <w:color w:val="000000"/>
        </w:rPr>
        <w:t>food producing companies support the set-up of new or existing living laboratory facilities and pre-commercialisation infrastructure or shared infrastructure solutions to test the implementation of biotechnologies;</w:t>
      </w:r>
    </w:p>
    <w:p w:rsidR="009A342E" w:rsidRDefault="009A342E" w:rsidP="009A342E">
      <w:pPr>
        <w:pStyle w:val="Paragraphedeliste"/>
        <w:numPr>
          <w:ilvl w:val="0"/>
          <w:numId w:val="3"/>
        </w:numPr>
      </w:pPr>
      <w:r>
        <w:rPr>
          <w:color w:val="000000"/>
        </w:rPr>
        <w:t>innovative technologies are identified for the use of microbes that have been genetically engineered transforming CO</w:t>
      </w:r>
      <w:r>
        <w:rPr>
          <w:color w:val="000000"/>
          <w:vertAlign w:val="subscript"/>
        </w:rPr>
        <w:t>2</w:t>
      </w:r>
      <w:r>
        <w:rPr>
          <w:color w:val="000000"/>
        </w:rPr>
        <w:t xml:space="preserve"> into nutrients for food purposes and scaled up by SMEs and innovative start-up;</w:t>
      </w:r>
    </w:p>
    <w:p w:rsidR="009A342E" w:rsidRDefault="009A342E" w:rsidP="009A342E">
      <w:pPr>
        <w:pStyle w:val="Paragraphedeliste"/>
        <w:numPr>
          <w:ilvl w:val="0"/>
          <w:numId w:val="3"/>
        </w:numPr>
      </w:pPr>
      <w:r>
        <w:rPr>
          <w:color w:val="000000"/>
        </w:rPr>
        <w:t xml:space="preserve">existing pilot plants in Europe are improved to scale up the production by identifying and removing barriers that slow down the scaling up of the production of nutrients for food and food ingredients. </w:t>
      </w:r>
    </w:p>
    <w:p w:rsidR="009A342E" w:rsidRDefault="009A342E" w:rsidP="009A342E">
      <w:r>
        <w:rPr>
          <w:u w:val="single"/>
        </w:rPr>
        <w:t>Scope</w:t>
      </w:r>
      <w:r>
        <w:t xml:space="preserve">: </w:t>
      </w:r>
      <w:r>
        <w:rPr>
          <w:color w:val="000000"/>
        </w:rPr>
        <w:t xml:space="preserve">Innovations using microbes have the potential to deliver benefits in several fields, including agriculture, food and feed, industries, environment, marine and biodiversity. Utilising </w:t>
      </w:r>
      <w:r>
        <w:rPr>
          <w:color w:val="000000"/>
        </w:rPr>
        <w:lastRenderedPageBreak/>
        <w:t>microbes genetically engineered for precision fermentation is an innovative approach that could significantly contribute to safer food systems</w:t>
      </w:r>
      <w:r>
        <w:rPr>
          <w:vertAlign w:val="superscript"/>
        </w:rPr>
        <w:footnoteReference w:id="8"/>
      </w:r>
      <w:r>
        <w:rPr>
          <w:color w:val="000000"/>
        </w:rPr>
        <w:t>. This biotechnology leverages the capabilities of microbes to produce proteins including enzymes, fats, and other valuable compounds with high efficiency and specificity. Therefore, it represents a key area for investments and research, promising to revolutionise the food system and thus, contributing to a healthier planet.</w:t>
      </w:r>
    </w:p>
    <w:p w:rsidR="009A342E" w:rsidRDefault="009A342E" w:rsidP="009A342E">
      <w:r>
        <w:rPr>
          <w:color w:val="000000"/>
        </w:rPr>
        <w:t>The proposals should address all the following activities:</w:t>
      </w:r>
    </w:p>
    <w:p w:rsidR="009A342E" w:rsidRDefault="009A342E" w:rsidP="009A342E">
      <w:pPr>
        <w:pStyle w:val="Paragraphedeliste"/>
        <w:numPr>
          <w:ilvl w:val="0"/>
          <w:numId w:val="4"/>
        </w:numPr>
      </w:pPr>
      <w:r>
        <w:rPr>
          <w:color w:val="000000"/>
        </w:rPr>
        <w:t>provide the costs and investments for the use of the biotechnology for scaling up production of proteins through the use of microbes genetically engineered that capture CO</w:t>
      </w:r>
      <w:r>
        <w:rPr>
          <w:color w:val="000000"/>
          <w:vertAlign w:val="subscript"/>
        </w:rPr>
        <w:t>2</w:t>
      </w:r>
      <w:r>
        <w:rPr>
          <w:color w:val="000000"/>
        </w:rPr>
        <w:t xml:space="preserve"> from the air or from on-site plant emissions;</w:t>
      </w:r>
    </w:p>
    <w:p w:rsidR="009A342E" w:rsidRDefault="009A342E" w:rsidP="009A342E">
      <w:pPr>
        <w:pStyle w:val="Paragraphedeliste"/>
        <w:numPr>
          <w:ilvl w:val="0"/>
          <w:numId w:val="4"/>
        </w:numPr>
      </w:pPr>
      <w:r>
        <w:rPr>
          <w:color w:val="000000"/>
        </w:rPr>
        <w:t>establish an open space database or platform for companies to create their own business models for precision fermentation using microbes genetically engineered and performing a pre-commercialisation testing to go along with business model strategies development also in situ application;</w:t>
      </w:r>
    </w:p>
    <w:p w:rsidR="009A342E" w:rsidRDefault="009A342E" w:rsidP="009A342E">
      <w:pPr>
        <w:pStyle w:val="Paragraphedeliste"/>
        <w:numPr>
          <w:ilvl w:val="0"/>
          <w:numId w:val="4"/>
        </w:numPr>
      </w:pPr>
      <w:r>
        <w:rPr>
          <w:color w:val="000000"/>
        </w:rPr>
        <w:t xml:space="preserve">establish business models for industry and for in-situ application also when other gases than CO2 are considered; </w:t>
      </w:r>
    </w:p>
    <w:p w:rsidR="009A342E" w:rsidRDefault="009A342E" w:rsidP="009A342E">
      <w:pPr>
        <w:pStyle w:val="Paragraphedeliste"/>
        <w:numPr>
          <w:ilvl w:val="0"/>
          <w:numId w:val="4"/>
        </w:numPr>
      </w:pPr>
      <w:r>
        <w:rPr>
          <w:color w:val="000000"/>
        </w:rPr>
        <w:t xml:space="preserve">evaluate the sustainability, efficiency, and resilience of European companies that use precision fermentation with genetically engineered microbes and its contribution to reducing the presence of CO2 in the air; </w:t>
      </w:r>
    </w:p>
    <w:p w:rsidR="009A342E" w:rsidRDefault="009A342E" w:rsidP="009A342E">
      <w:pPr>
        <w:pStyle w:val="Paragraphedeliste"/>
        <w:numPr>
          <w:ilvl w:val="0"/>
          <w:numId w:val="4"/>
        </w:numPr>
      </w:pPr>
      <w:r>
        <w:rPr>
          <w:color w:val="000000"/>
        </w:rPr>
        <w:t xml:space="preserve">provide a scale-up feasibility analysis for the developed biotechnologies which should take into consideration in the design process the feasibility for up-scaling, already from the early stages.  </w:t>
      </w:r>
    </w:p>
    <w:p w:rsidR="009A342E" w:rsidRDefault="009A342E" w:rsidP="009A342E">
      <w:r>
        <w:rPr>
          <w:color w:val="000000"/>
        </w:rPr>
        <w:t xml:space="preserve">The proposals must implement the 'multi-actor approach' and ensure adequate involvement of existing private companies in Europe, participation of SMEs and start-ups. </w:t>
      </w:r>
    </w:p>
    <w:p w:rsidR="009A342E" w:rsidRDefault="009A342E" w:rsidP="009A342E">
      <w:r>
        <w:rPr>
          <w:color w:val="000000"/>
        </w:rPr>
        <w:t>The proposals should include a dedicated task in the workplan and appropriate resources to collaborate with the projects funded under this topic.</w:t>
      </w:r>
    </w:p>
    <w:p w:rsidR="009A342E" w:rsidRDefault="009A342E" w:rsidP="009A342E">
      <w:r>
        <w:rPr>
          <w:color w:val="000000"/>
        </w:rPr>
        <w:t xml:space="preserve">The proposals must establish links with Regional Innovation Valleys for the </w:t>
      </w:r>
      <w:proofErr w:type="spellStart"/>
      <w:r>
        <w:rPr>
          <w:color w:val="000000"/>
        </w:rPr>
        <w:t>bioeconomy</w:t>
      </w:r>
      <w:proofErr w:type="spellEnd"/>
      <w:r>
        <w:rPr>
          <w:color w:val="000000"/>
        </w:rPr>
        <w:t xml:space="preserve"> and food systems (RIV4BFS)</w:t>
      </w:r>
      <w:r>
        <w:rPr>
          <w:vertAlign w:val="superscript"/>
        </w:rPr>
        <w:footnoteReference w:id="9"/>
      </w:r>
      <w:r>
        <w:rPr>
          <w:color w:val="000000"/>
        </w:rPr>
        <w:t xml:space="preserve"> to encourage the deployment of technologies related to biotechnological processes across the EU regions.</w:t>
      </w:r>
    </w:p>
    <w:p w:rsidR="009A342E" w:rsidRDefault="009A342E" w:rsidP="009A342E">
      <w:r>
        <w:rPr>
          <w:color w:val="000000"/>
        </w:rPr>
        <w:t xml:space="preserve">If possible, cross-articulation with the data spaces, and notably with the European Open Science Cloud (EOSC) should be foreseen, exploiting synergies and complementarities of the different approaches. Proposals are also encouraged to consider, where relevant, the services offered by </w:t>
      </w:r>
      <w:r>
        <w:rPr>
          <w:color w:val="000000"/>
        </w:rPr>
        <w:lastRenderedPageBreak/>
        <w:t>European research infrastructures such as IBISBA or other relevant research infrastructures</w:t>
      </w:r>
      <w:r>
        <w:rPr>
          <w:vertAlign w:val="superscript"/>
        </w:rPr>
        <w:footnoteReference w:id="10"/>
      </w:r>
      <w:r>
        <w:rPr>
          <w:color w:val="000000"/>
        </w:rPr>
        <w:t xml:space="preserve"> as well as the services offered by the existing technology infrastructures.</w:t>
      </w:r>
    </w:p>
    <w:p w:rsidR="009A342E" w:rsidRDefault="009A342E" w:rsidP="009A342E">
      <w:r>
        <w:rPr>
          <w:color w:val="000000"/>
        </w:rPr>
        <w:t>To maximise the impacts of R&amp;I, collaboration with international partners in particular with US is encouraged.</w:t>
      </w:r>
    </w:p>
    <w:p w:rsidR="009A342E" w:rsidRDefault="009A342E" w:rsidP="009A342E">
      <w:pPr>
        <w:pStyle w:val="HeadingThree"/>
      </w:pPr>
      <w:bookmarkStart w:id="2" w:name="_Toc178784325"/>
      <w:r>
        <w:t>HORIZON-CL6-2025-01-CIRCBIO-09: Bioprospecting and optimized production of the terrestrial natural products: new opportunities for bio-based sectors</w:t>
      </w:r>
      <w:bookmarkEnd w:id="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0"/>
        <w:gridCol w:w="7052"/>
      </w:tblGrid>
      <w:tr w:rsidR="009A342E" w:rsidTr="006C50DA">
        <w:tc>
          <w:tcPr>
            <w:tcW w:w="0" w:type="auto"/>
            <w:gridSpan w:val="2"/>
          </w:tcPr>
          <w:p w:rsidR="009A342E" w:rsidRDefault="009A342E" w:rsidP="006C50DA">
            <w:pPr>
              <w:pStyle w:val="CellTextValue"/>
            </w:pPr>
            <w:r>
              <w:rPr>
                <w:b/>
              </w:rPr>
              <w:t>Call: Cluster 6 Call 01</w:t>
            </w:r>
          </w:p>
        </w:tc>
      </w:tr>
      <w:tr w:rsidR="009A342E" w:rsidTr="006C50DA">
        <w:tc>
          <w:tcPr>
            <w:tcW w:w="0" w:type="auto"/>
            <w:gridSpan w:val="2"/>
          </w:tcPr>
          <w:p w:rsidR="009A342E" w:rsidRDefault="009A342E" w:rsidP="006C50DA">
            <w:pPr>
              <w:pStyle w:val="CellTextValue"/>
            </w:pPr>
            <w:r>
              <w:rPr>
                <w:b/>
              </w:rPr>
              <w:t>Specific conditions</w:t>
            </w:r>
          </w:p>
        </w:tc>
      </w:tr>
      <w:tr w:rsidR="009A342E" w:rsidTr="006C50DA">
        <w:tc>
          <w:tcPr>
            <w:tcW w:w="0" w:type="auto"/>
          </w:tcPr>
          <w:p w:rsidR="009A342E" w:rsidRDefault="009A342E" w:rsidP="006C50DA">
            <w:pPr>
              <w:pStyle w:val="CellTextValue"/>
              <w:jc w:val="left"/>
            </w:pPr>
            <w:r>
              <w:rPr>
                <w:i/>
              </w:rPr>
              <w:t>Expected EU contribution per project</w:t>
            </w:r>
          </w:p>
        </w:tc>
        <w:tc>
          <w:tcPr>
            <w:tcW w:w="0" w:type="auto"/>
          </w:tcPr>
          <w:p w:rsidR="009A342E" w:rsidRDefault="009A342E" w:rsidP="006C50DA">
            <w:pPr>
              <w:pStyle w:val="CellTextValue"/>
            </w:pPr>
            <w:r>
              <w:t>The Commission estimates that an EU contribution of around EUR 5.50 million would allow these outcomes to be addressed appropriately. Nonetheless, this does not preclude submission and selection of a proposal requesting different amounts.</w:t>
            </w:r>
          </w:p>
        </w:tc>
      </w:tr>
      <w:tr w:rsidR="009A342E" w:rsidTr="006C50DA">
        <w:tc>
          <w:tcPr>
            <w:tcW w:w="0" w:type="auto"/>
          </w:tcPr>
          <w:p w:rsidR="009A342E" w:rsidRDefault="009A342E" w:rsidP="006C50DA">
            <w:pPr>
              <w:pStyle w:val="CellTextValue"/>
              <w:jc w:val="left"/>
            </w:pPr>
            <w:r>
              <w:rPr>
                <w:i/>
              </w:rPr>
              <w:t>Indicative budget</w:t>
            </w:r>
          </w:p>
        </w:tc>
        <w:tc>
          <w:tcPr>
            <w:tcW w:w="0" w:type="auto"/>
          </w:tcPr>
          <w:p w:rsidR="009A342E" w:rsidRDefault="009A342E" w:rsidP="006C50DA">
            <w:pPr>
              <w:pStyle w:val="CellTextValue"/>
            </w:pPr>
            <w:r>
              <w:t>The total indicative budget for the topic is EUR 11.00 million.</w:t>
            </w:r>
          </w:p>
        </w:tc>
      </w:tr>
      <w:tr w:rsidR="009A342E" w:rsidTr="006C50DA">
        <w:tc>
          <w:tcPr>
            <w:tcW w:w="0" w:type="auto"/>
          </w:tcPr>
          <w:p w:rsidR="009A342E" w:rsidRDefault="009A342E" w:rsidP="006C50DA">
            <w:pPr>
              <w:pStyle w:val="CellTextValue"/>
              <w:jc w:val="left"/>
            </w:pPr>
            <w:r>
              <w:rPr>
                <w:i/>
              </w:rPr>
              <w:t>Type of Action</w:t>
            </w:r>
          </w:p>
        </w:tc>
        <w:tc>
          <w:tcPr>
            <w:tcW w:w="0" w:type="auto"/>
          </w:tcPr>
          <w:p w:rsidR="009A342E" w:rsidRDefault="009A342E" w:rsidP="006C50DA">
            <w:pPr>
              <w:pStyle w:val="CellTextValue"/>
            </w:pPr>
            <w:r>
              <w:rPr>
                <w:color w:val="000000"/>
              </w:rPr>
              <w:t>Innovation Actions</w:t>
            </w:r>
          </w:p>
        </w:tc>
      </w:tr>
      <w:tr w:rsidR="009A342E" w:rsidTr="006C50DA">
        <w:tc>
          <w:tcPr>
            <w:tcW w:w="0" w:type="auto"/>
          </w:tcPr>
          <w:p w:rsidR="009A342E" w:rsidRDefault="009A342E" w:rsidP="006C50DA">
            <w:pPr>
              <w:pStyle w:val="CellTextValue"/>
              <w:jc w:val="left"/>
            </w:pPr>
            <w:r>
              <w:rPr>
                <w:i/>
              </w:rPr>
              <w:t>Technology Readiness Level</w:t>
            </w:r>
          </w:p>
        </w:tc>
        <w:tc>
          <w:tcPr>
            <w:tcW w:w="0" w:type="auto"/>
          </w:tcPr>
          <w:p w:rsidR="009A342E" w:rsidRDefault="009A342E" w:rsidP="006C50DA">
            <w:pPr>
              <w:pStyle w:val="CellTextValue"/>
            </w:pPr>
            <w:r>
              <w:rPr>
                <w:color w:val="000000"/>
              </w:rPr>
              <w:t>Activities are expected to achieve TRL 6-7 by the end of the project – see General Annex B. Activities may start at any TRL.</w:t>
            </w:r>
          </w:p>
        </w:tc>
      </w:tr>
    </w:tbl>
    <w:p w:rsidR="009A342E" w:rsidRDefault="009A342E" w:rsidP="009A342E">
      <w:pPr>
        <w:spacing w:after="0" w:line="150" w:lineRule="auto"/>
      </w:pPr>
    </w:p>
    <w:p w:rsidR="009A342E" w:rsidRDefault="009A342E" w:rsidP="009A342E">
      <w:r>
        <w:rPr>
          <w:u w:val="single"/>
        </w:rPr>
        <w:t>Expected Outcome</w:t>
      </w:r>
      <w:r>
        <w:t xml:space="preserve">: </w:t>
      </w:r>
      <w:r>
        <w:rPr>
          <w:color w:val="000000"/>
        </w:rPr>
        <w:t xml:space="preserve">Successful proposals should contribute to a clean, competitive and circular economy and sustainable </w:t>
      </w:r>
      <w:proofErr w:type="spellStart"/>
      <w:r>
        <w:rPr>
          <w:color w:val="000000"/>
        </w:rPr>
        <w:t>bioeconomy</w:t>
      </w:r>
      <w:proofErr w:type="spellEnd"/>
      <w:r>
        <w:rPr>
          <w:color w:val="000000"/>
        </w:rPr>
        <w:t>, through the integration of bioprospecting/biodiscovery, biotechnology and biomanufacturing, enabling the deployment of innovative circular and climate-neutral bio-based materials, processes and value chains with higher resource efficiency and market value.</w:t>
      </w:r>
    </w:p>
    <w:p w:rsidR="009A342E" w:rsidRDefault="009A342E" w:rsidP="009A342E">
      <w:r>
        <w:rPr>
          <w:color w:val="000000"/>
        </w:rPr>
        <w:t>Project results are expected to contribute to all of the following expected outcomes:</w:t>
      </w:r>
    </w:p>
    <w:p w:rsidR="009A342E" w:rsidRDefault="009A342E" w:rsidP="009A342E">
      <w:pPr>
        <w:pStyle w:val="Paragraphedeliste"/>
        <w:numPr>
          <w:ilvl w:val="0"/>
          <w:numId w:val="5"/>
        </w:numPr>
      </w:pPr>
      <w:r>
        <w:rPr>
          <w:color w:val="000000"/>
        </w:rPr>
        <w:t>demonstrating the broadened range of more sustainable and more accessible natural bioactive products from terrestrial ecosystems with high value market applications;</w:t>
      </w:r>
    </w:p>
    <w:p w:rsidR="009A342E" w:rsidRDefault="009A342E" w:rsidP="009A342E">
      <w:pPr>
        <w:pStyle w:val="Paragraphedeliste"/>
        <w:numPr>
          <w:ilvl w:val="0"/>
          <w:numId w:val="5"/>
        </w:numPr>
      </w:pPr>
      <w:r>
        <w:rPr>
          <w:color w:val="000000"/>
        </w:rPr>
        <w:t>demonstrating advances in the development and/or application of related computational tools and methods or technologies, such as AI etc. in the biodiscovery pipeline;</w:t>
      </w:r>
    </w:p>
    <w:p w:rsidR="009A342E" w:rsidRDefault="009A342E" w:rsidP="009A342E">
      <w:pPr>
        <w:pStyle w:val="Paragraphedeliste"/>
        <w:numPr>
          <w:ilvl w:val="0"/>
          <w:numId w:val="5"/>
        </w:numPr>
      </w:pPr>
      <w:r>
        <w:rPr>
          <w:color w:val="000000"/>
        </w:rPr>
        <w:t>increased commitment to biodiversity preservation and conservation through enabling bioproduction routes (biosynthesis, fermentation, culturing) of natural products, ensuring that the biodiscovery of new compounds does not lead to unsustainable harvesting from the wild, to ensure a sustainable use of genetic diversity;</w:t>
      </w:r>
    </w:p>
    <w:p w:rsidR="009A342E" w:rsidRDefault="009A342E" w:rsidP="009A342E">
      <w:pPr>
        <w:pStyle w:val="Paragraphedeliste"/>
        <w:numPr>
          <w:ilvl w:val="0"/>
          <w:numId w:val="5"/>
        </w:numPr>
      </w:pPr>
      <w:r>
        <w:rPr>
          <w:color w:val="000000"/>
        </w:rPr>
        <w:lastRenderedPageBreak/>
        <w:t xml:space="preserve">awareness raising and creation of a better framework for biotechnology and bio-based innovation and uptake through broad stakeholder engagement, supporting the EU biotechnology and biomanufacturing initiative.  </w:t>
      </w:r>
    </w:p>
    <w:p w:rsidR="009A342E" w:rsidRDefault="009A342E" w:rsidP="009A342E">
      <w:r>
        <w:rPr>
          <w:u w:val="single"/>
        </w:rPr>
        <w:t>Scope</w:t>
      </w:r>
      <w:r>
        <w:t xml:space="preserve">: </w:t>
      </w:r>
      <w:r>
        <w:rPr>
          <w:color w:val="000000"/>
        </w:rPr>
        <w:t>The action covers modern biodiscovery approaches, including full integration of digital-driven, ‘-omics’ and associated bioinformatic tools</w:t>
      </w:r>
      <w:r>
        <w:rPr>
          <w:vertAlign w:val="superscript"/>
        </w:rPr>
        <w:footnoteReference w:id="11"/>
      </w:r>
      <w:r>
        <w:rPr>
          <w:color w:val="000000"/>
        </w:rPr>
        <w:t xml:space="preserve">, which make possible the identification and further upscaling (optimized production) of bioactive natural compounds with potential high-value application in various bio-based sectors including pharmaceuticals, nutraceuticals, cosmetics, food/feed additives, agrochemicals, etc. In the context of this topic, the natural products are understood as biologically active products such as secondary metabolites as well as enzymes derived from terrestrial organisms. New products should be safe and sustainable following the </w:t>
      </w:r>
      <w:proofErr w:type="spellStart"/>
      <w:r>
        <w:rPr>
          <w:color w:val="000000"/>
        </w:rPr>
        <w:t>SSbD</w:t>
      </w:r>
      <w:proofErr w:type="spellEnd"/>
      <w:r>
        <w:rPr>
          <w:color w:val="000000"/>
        </w:rPr>
        <w:t xml:space="preserve"> approach.</w:t>
      </w:r>
      <w:r>
        <w:rPr>
          <w:vertAlign w:val="superscript"/>
        </w:rPr>
        <w:footnoteReference w:id="12"/>
      </w:r>
    </w:p>
    <w:p w:rsidR="009A342E" w:rsidRDefault="009A342E" w:rsidP="009A342E">
      <w:r>
        <w:rPr>
          <w:color w:val="000000"/>
        </w:rPr>
        <w:t>The scope covers immense diversity of terrestrial micro- and macro-organisms and their communities, which represents a rich and largely unexplored reservoir of natural products and their base ingredients (e.g. plants, fungi, microorganisms etc are in scope. The biochemical interplay between interspecies communities, e.g. symbiotic or defence mechanisms may offer attractive leads and is also in scope). For the coverage of aquatic bioprospecting see parallel topic HORIZON-CL6-2025-01-CIRCBIO-15: Bioprospecting of marine natural products in the -omics &amp; artificial intelligence era.</w:t>
      </w:r>
    </w:p>
    <w:p w:rsidR="009A342E" w:rsidRDefault="009A342E" w:rsidP="009A342E">
      <w:r>
        <w:rPr>
          <w:color w:val="000000"/>
        </w:rPr>
        <w:t>The aim of this action is to broaden the range of novel compounds, lowering the production costs, quicken the development pipeline, and enable more innovation for the industrial operators, with clear-cut benefits for the final users (consumers and industries). The biodiscovery pipeline may cover in silico prospecting, genomic characterisation, creation of natural product libraries, bioactivity screening, chemical structure elucidation, natural products isolation and purification, and/or optimized production pathways via biotechnology and biomanufacturing approaches (including via gene editing) in suitable industrial facilities (bioreactors/biorefineries, e.g. microbial production), or synthetic biology approaches.</w:t>
      </w:r>
    </w:p>
    <w:p w:rsidR="009A342E" w:rsidRDefault="009A342E" w:rsidP="009A342E">
      <w:r>
        <w:rPr>
          <w:color w:val="000000"/>
        </w:rPr>
        <w:t>Targeted terrestrial biological resources can be sourced from their natural environment (in-situ) and/or from public and private collections and gene-banks (ex-situ).</w:t>
      </w:r>
    </w:p>
    <w:p w:rsidR="009A342E" w:rsidRDefault="009A342E" w:rsidP="009A342E">
      <w:r>
        <w:rPr>
          <w:color w:val="000000"/>
        </w:rPr>
        <w:t>The integration of digital approaches and tools (AI, computer algorithms such as machine learning, modelling, data science, digital twins etc) on optimizing the biodiscovery processes such as identification of biosynthetic gene clusters and metabolic pathways, enzyme selection, combinatorial assembly and annotation of high-throughput DNA sequencing data, bioactivity prediction, elucidation of the structure of compounds, experimental design etc is in scope (see the parallel topic HORIZON-CL6-2025-01-CIRCBIO-10: Unleashing the potential and advancing the impact of the digitalization/AI of the bio-based value chains).</w:t>
      </w:r>
    </w:p>
    <w:p w:rsidR="009A342E" w:rsidRDefault="009A342E" w:rsidP="009A342E">
      <w:r>
        <w:rPr>
          <w:color w:val="000000"/>
        </w:rPr>
        <w:t>Safety to the end-users, and operators needs to be assessed and guaranteed.</w:t>
      </w:r>
    </w:p>
    <w:p w:rsidR="009A342E" w:rsidRDefault="009A342E" w:rsidP="009A342E">
      <w:r>
        <w:rPr>
          <w:color w:val="000000"/>
        </w:rPr>
        <w:lastRenderedPageBreak/>
        <w:t>The action needs to avoid overlaps to past or ongoing topics (e.g. projects funded under the topic HORIZON-CL6-2022-CIRCBIO-02-05-two-stage - Life sciences and their convergence with digital technologies for prospecting, understanding and sustainably using biological resources, or the topic HORIZON-CL6-2023-CIRCBIO-01 - Broadening the spectrum of robust enzymes and microbial hosts in industrial biotechnology), consider synergies to parallel actions (e.g. HORIZON-CL6-2025-01-CIRCBIO-15 - Bioprospecting of marine natural products in the omics and artificial intelligence era), as well as funded under topic HORIZON-2020-FNR-11-2020: Prospecting aquatic and terrestrial natural biological resources for biologically active compounds</w:t>
      </w:r>
      <w:r>
        <w:rPr>
          <w:vertAlign w:val="superscript"/>
        </w:rPr>
        <w:footnoteReference w:id="13"/>
      </w:r>
      <w:r>
        <w:rPr>
          <w:color w:val="000000"/>
        </w:rPr>
        <w:t>. Also, links to the actions under the Circular Bio-based Europe Joint Undertaking (CBE JU) may be established, as relevant.</w:t>
      </w:r>
    </w:p>
    <w:p w:rsidR="009A342E" w:rsidRDefault="009A342E" w:rsidP="009A342E">
      <w:r>
        <w:rPr>
          <w:color w:val="000000"/>
        </w:rPr>
        <w:t xml:space="preserve">Proposals should </w:t>
      </w:r>
      <w:proofErr w:type="gramStart"/>
      <w:r>
        <w:rPr>
          <w:color w:val="000000"/>
        </w:rPr>
        <w:t>take into account</w:t>
      </w:r>
      <w:proofErr w:type="gramEnd"/>
      <w:r>
        <w:rPr>
          <w:color w:val="000000"/>
        </w:rPr>
        <w:t xml:space="preserve"> the findings of the Global Resources Outlook 2024 of the International Resource Panel.</w:t>
      </w:r>
    </w:p>
    <w:p w:rsidR="009A342E" w:rsidRDefault="009A342E" w:rsidP="009A342E">
      <w:r>
        <w:rPr>
          <w:color w:val="000000"/>
        </w:rPr>
        <w:t>Projects will have a strong industry/SME focus and include demonstration activities to proof the techno/economic viability of the production of the proposed terrestrial natural product(s) and/or the biodiscovery platform tools combining digital approaches and tools and biotechnologies.</w:t>
      </w:r>
    </w:p>
    <w:p w:rsidR="009A342E" w:rsidRDefault="009A342E" w:rsidP="009A342E">
      <w:r>
        <w:rPr>
          <w:color w:val="000000"/>
        </w:rPr>
        <w:t>The action needs to guarantee biodiversity preservation, offering decrease of pressure on wild resources and higher overall sustainability, with policy dialogue with competent authorities; projects need to comply with applicable EU regulations and international rules on access to biological resources, such as UN Convention on Biological Diversity and its Nagoya Protocol, their sustainable use and the fair and equitable sharing of benefits from their utilisation. This can be addressed, inter alia, by covering propagation of biological material, including by in vitro cultivation, as well as by biotechnological approaches. A sustainability assessment should be carried out to evaluate the environmental, economic and social performance of the developed product(s). Proposals should contribute to understanding of potential trade-offs inherent in the exploitation of ecosystems, and their potential to deliver ecosystem services. Any risks to the ecosystems should be assessed and minimised, along the application of the Do-No-Significant-Harm (DNSH) principle.</w:t>
      </w:r>
    </w:p>
    <w:p w:rsidR="009A342E" w:rsidRDefault="009A342E" w:rsidP="009A342E">
      <w:r>
        <w:rPr>
          <w:color w:val="000000"/>
        </w:rPr>
        <w:t>Proposals should include a task dedicated to sharing methodologies and findings with projects funded under this topic and with similar recent or ongoing projects.</w:t>
      </w:r>
    </w:p>
    <w:p w:rsidR="009A342E" w:rsidRDefault="009A342E" w:rsidP="009A342E">
      <w:r>
        <w:rPr>
          <w:color w:val="000000"/>
        </w:rPr>
        <w:t>International cooperation is encouraged, for win-win outcomes and mutual benefits.</w:t>
      </w:r>
    </w:p>
    <w:p w:rsidR="009A342E" w:rsidRDefault="009A342E" w:rsidP="009A342E">
      <w:pPr>
        <w:pStyle w:val="HeadingThree"/>
      </w:pPr>
      <w:bookmarkStart w:id="3" w:name="_Toc178784326"/>
      <w:r>
        <w:t>HORIZON-CL6-2025-01-CIRCBIO-10: Unleashing the potential and advancing the impact of the digitalization/Artificial Intelligence of the bio-based value chains</w:t>
      </w:r>
      <w:bookmarkEnd w:id="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0"/>
        <w:gridCol w:w="7052"/>
      </w:tblGrid>
      <w:tr w:rsidR="009A342E" w:rsidTr="006C50DA">
        <w:tc>
          <w:tcPr>
            <w:tcW w:w="0" w:type="auto"/>
            <w:gridSpan w:val="2"/>
          </w:tcPr>
          <w:p w:rsidR="009A342E" w:rsidRDefault="009A342E" w:rsidP="006C50DA">
            <w:pPr>
              <w:pStyle w:val="CellTextValue"/>
            </w:pPr>
            <w:r>
              <w:rPr>
                <w:b/>
              </w:rPr>
              <w:t>Call: Cluster 6 Call 01</w:t>
            </w:r>
          </w:p>
        </w:tc>
      </w:tr>
      <w:tr w:rsidR="009A342E" w:rsidTr="006C50DA">
        <w:tc>
          <w:tcPr>
            <w:tcW w:w="0" w:type="auto"/>
            <w:gridSpan w:val="2"/>
          </w:tcPr>
          <w:p w:rsidR="009A342E" w:rsidRDefault="009A342E" w:rsidP="006C50DA">
            <w:pPr>
              <w:pStyle w:val="CellTextValue"/>
            </w:pPr>
            <w:r>
              <w:rPr>
                <w:b/>
              </w:rPr>
              <w:t>Specific conditions</w:t>
            </w:r>
          </w:p>
        </w:tc>
      </w:tr>
      <w:tr w:rsidR="009A342E" w:rsidTr="006C50DA">
        <w:tc>
          <w:tcPr>
            <w:tcW w:w="0" w:type="auto"/>
          </w:tcPr>
          <w:p w:rsidR="009A342E" w:rsidRDefault="009A342E" w:rsidP="006C50DA">
            <w:pPr>
              <w:pStyle w:val="CellTextValue"/>
              <w:jc w:val="left"/>
            </w:pPr>
            <w:r>
              <w:rPr>
                <w:i/>
              </w:rPr>
              <w:lastRenderedPageBreak/>
              <w:t>Expected EU contribution per project</w:t>
            </w:r>
          </w:p>
        </w:tc>
        <w:tc>
          <w:tcPr>
            <w:tcW w:w="0" w:type="auto"/>
          </w:tcPr>
          <w:p w:rsidR="009A342E" w:rsidRDefault="009A342E" w:rsidP="006C50DA">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9A342E" w:rsidTr="006C50DA">
        <w:tc>
          <w:tcPr>
            <w:tcW w:w="0" w:type="auto"/>
          </w:tcPr>
          <w:p w:rsidR="009A342E" w:rsidRDefault="009A342E" w:rsidP="006C50DA">
            <w:pPr>
              <w:pStyle w:val="CellTextValue"/>
              <w:jc w:val="left"/>
            </w:pPr>
            <w:r>
              <w:rPr>
                <w:i/>
              </w:rPr>
              <w:t>Indicative budget</w:t>
            </w:r>
          </w:p>
        </w:tc>
        <w:tc>
          <w:tcPr>
            <w:tcW w:w="0" w:type="auto"/>
          </w:tcPr>
          <w:p w:rsidR="009A342E" w:rsidRDefault="009A342E" w:rsidP="006C50DA">
            <w:pPr>
              <w:pStyle w:val="CellTextValue"/>
            </w:pPr>
            <w:r>
              <w:t>The total indicative budget for the topic is EUR 10.00 million.</w:t>
            </w:r>
          </w:p>
        </w:tc>
      </w:tr>
      <w:tr w:rsidR="009A342E" w:rsidTr="006C50DA">
        <w:tc>
          <w:tcPr>
            <w:tcW w:w="0" w:type="auto"/>
          </w:tcPr>
          <w:p w:rsidR="009A342E" w:rsidRDefault="009A342E" w:rsidP="006C50DA">
            <w:pPr>
              <w:pStyle w:val="CellTextValue"/>
              <w:jc w:val="left"/>
            </w:pPr>
            <w:r>
              <w:rPr>
                <w:i/>
              </w:rPr>
              <w:t>Type of Action</w:t>
            </w:r>
          </w:p>
        </w:tc>
        <w:tc>
          <w:tcPr>
            <w:tcW w:w="0" w:type="auto"/>
          </w:tcPr>
          <w:p w:rsidR="009A342E" w:rsidRDefault="009A342E" w:rsidP="006C50DA">
            <w:pPr>
              <w:pStyle w:val="CellTextValue"/>
            </w:pPr>
            <w:r>
              <w:rPr>
                <w:color w:val="000000"/>
              </w:rPr>
              <w:t>Innovation Actions</w:t>
            </w:r>
          </w:p>
        </w:tc>
      </w:tr>
      <w:tr w:rsidR="009A342E" w:rsidTr="006C50DA">
        <w:tc>
          <w:tcPr>
            <w:tcW w:w="0" w:type="auto"/>
          </w:tcPr>
          <w:p w:rsidR="009A342E" w:rsidRDefault="009A342E" w:rsidP="006C50DA">
            <w:pPr>
              <w:pStyle w:val="CellTextValue"/>
              <w:jc w:val="left"/>
            </w:pPr>
            <w:r>
              <w:rPr>
                <w:i/>
              </w:rPr>
              <w:t>Technology Readiness Level</w:t>
            </w:r>
          </w:p>
        </w:tc>
        <w:tc>
          <w:tcPr>
            <w:tcW w:w="0" w:type="auto"/>
          </w:tcPr>
          <w:p w:rsidR="009A342E" w:rsidRDefault="009A342E" w:rsidP="006C50DA">
            <w:pPr>
              <w:pStyle w:val="CellTextValue"/>
            </w:pPr>
            <w:r>
              <w:rPr>
                <w:color w:val="000000"/>
              </w:rPr>
              <w:t>Activities are expected to achieve TRL 7 by the end of the project – see General Annex B. Activities may start at any TRL.</w:t>
            </w:r>
          </w:p>
        </w:tc>
      </w:tr>
    </w:tbl>
    <w:p w:rsidR="009A342E" w:rsidRDefault="009A342E" w:rsidP="009A342E">
      <w:pPr>
        <w:spacing w:after="0" w:line="150" w:lineRule="auto"/>
      </w:pPr>
    </w:p>
    <w:p w:rsidR="009A342E" w:rsidRDefault="009A342E" w:rsidP="009A342E">
      <w:r>
        <w:rPr>
          <w:u w:val="single"/>
        </w:rPr>
        <w:t>Expected Outcome</w:t>
      </w:r>
      <w:r>
        <w:t xml:space="preserve">: </w:t>
      </w:r>
      <w:r>
        <w:rPr>
          <w:color w:val="000000"/>
        </w:rPr>
        <w:t xml:space="preserve">Successful proposals should contribute to a clean, competitive and circular economy and sustainable </w:t>
      </w:r>
      <w:proofErr w:type="spellStart"/>
      <w:r>
        <w:rPr>
          <w:color w:val="000000"/>
        </w:rPr>
        <w:t>bioeconomy</w:t>
      </w:r>
      <w:proofErr w:type="spellEnd"/>
      <w:r>
        <w:rPr>
          <w:color w:val="000000"/>
        </w:rPr>
        <w:t>, through the integration of digital solutions/AI, enabling the deployment of innovative circular and climate-neutral bio-based materials, processes and value chains with higher resource efficiency.</w:t>
      </w:r>
    </w:p>
    <w:p w:rsidR="009A342E" w:rsidRDefault="009A342E" w:rsidP="009A342E">
      <w:r>
        <w:rPr>
          <w:color w:val="000000"/>
        </w:rPr>
        <w:t>Project results are expected to contribute to all of the following expected outcomes:</w:t>
      </w:r>
    </w:p>
    <w:p w:rsidR="009A342E" w:rsidRDefault="009A342E" w:rsidP="009A342E">
      <w:pPr>
        <w:pStyle w:val="Paragraphedeliste"/>
        <w:numPr>
          <w:ilvl w:val="0"/>
          <w:numId w:val="6"/>
        </w:numPr>
      </w:pPr>
      <w:r>
        <w:rPr>
          <w:color w:val="000000"/>
        </w:rPr>
        <w:t>the sustainability, resilience and the strategic autonomy of the European bio-based industry is improved due to the unleashing the full potential of Artificial Intelligence (AI), digitalisation and IT solutions, supporting the bio-based innovation;</w:t>
      </w:r>
    </w:p>
    <w:p w:rsidR="009A342E" w:rsidRDefault="009A342E" w:rsidP="009A342E">
      <w:pPr>
        <w:pStyle w:val="Paragraphedeliste"/>
        <w:numPr>
          <w:ilvl w:val="0"/>
          <w:numId w:val="6"/>
        </w:numPr>
      </w:pPr>
      <w:r>
        <w:rPr>
          <w:color w:val="000000"/>
        </w:rPr>
        <w:t>the opportunities on more sustainable feedstocks, more productive and efficient industrial processes and operations, and products, including via increased circularity, biodegradability, and due to better understanding of the carbon removal potential of bio-based systems, are advanced and demonstrated;</w:t>
      </w:r>
    </w:p>
    <w:p w:rsidR="009A342E" w:rsidRDefault="009A342E" w:rsidP="009A342E">
      <w:pPr>
        <w:pStyle w:val="Paragraphedeliste"/>
        <w:numPr>
          <w:ilvl w:val="0"/>
          <w:numId w:val="6"/>
        </w:numPr>
      </w:pPr>
      <w:r>
        <w:rPr>
          <w:color w:val="000000"/>
        </w:rPr>
        <w:t xml:space="preserve">improved understanding of risks and benefits based on new inclusive assessment methods, taking on board advances on technical and social innovation level.  </w:t>
      </w:r>
    </w:p>
    <w:p w:rsidR="009A342E" w:rsidRDefault="009A342E" w:rsidP="009A342E">
      <w:r>
        <w:rPr>
          <w:u w:val="single"/>
        </w:rPr>
        <w:t>Scope</w:t>
      </w:r>
      <w:r>
        <w:t xml:space="preserve">: </w:t>
      </w:r>
      <w:r>
        <w:rPr>
          <w:color w:val="000000"/>
        </w:rPr>
        <w:t>There is an unprecedented amount of data available in the bio-based sector today, among others, from the ever-growing ‘-omics’ technologies and integration of sensors and the Internet of Things (IoT) devices. Big data and analytics solutions allow bio-based actors, in particular, the bio-based industry, but also other R&amp;I and civil society stakeholders, to tap into this wealth of data to drive innovation and sustainability. Operators already use the bioinformatics solutions but there is still much potential to explore undiscovered bio-based systems</w:t>
      </w:r>
      <w:r>
        <w:rPr>
          <w:i/>
          <w:color w:val="000000"/>
        </w:rPr>
        <w:t>,</w:t>
      </w:r>
      <w:r>
        <w:rPr>
          <w:color w:val="000000"/>
        </w:rPr>
        <w:t xml:space="preserve"> improve processes and develop cleaner solutions (e.g. see parallel topics HORIZON-CL6-2025-01-CIRCBIO-15: Bioprospecting of marine natural products in the omics &amp; artificial intelligence era, and HORIZON-CL6-2025-01-CIRCBIO-09: Bioprospecting and optimized production of the terrestrial natural products: new opportunities for bio-based sectors).</w:t>
      </w:r>
    </w:p>
    <w:p w:rsidR="009A342E" w:rsidRDefault="009A342E" w:rsidP="009A342E">
      <w:r>
        <w:rPr>
          <w:color w:val="000000"/>
        </w:rPr>
        <w:t xml:space="preserve">AI enables also the bio-based operators to automate a wide range of processes, helping them scale up their operations. Using AI image analysis or leveraging deep learning can be used to analyse microbiomes, screen phenotypes, and develop rapid diagnostics in a vast range of applications. Use of AI to predict best metabolic pathways for biosynthesis, optimize/engineer enzymatic activities, and virtually test several variables can speed up bioprocesses’ </w:t>
      </w:r>
      <w:r>
        <w:rPr>
          <w:color w:val="000000"/>
        </w:rPr>
        <w:lastRenderedPageBreak/>
        <w:t>development, while helping to reduce costs and deliver novel molecules for the market. Also, streamlining biorefineries with AI can led to several levels of productivity gains. Moreover, systemic and integrated modelling approaches can optimise the rational deployment of bio-based value chains.</w:t>
      </w:r>
    </w:p>
    <w:p w:rsidR="009A342E" w:rsidRDefault="009A342E" w:rsidP="009A342E">
      <w:r>
        <w:rPr>
          <w:color w:val="000000"/>
        </w:rPr>
        <w:t>The action will first, explore the potential of AI and other digital technologies and tools in the bio-based sector and, next, focus on developing new capacities, high-quality tools and algorithms of AI and other digital technologies and tools to be demonstrated for the most promising (in terms of impact on environmental sustainability and competitiveness) applications of this sector. In this context, the concept of a ‘digital twin’</w:t>
      </w:r>
      <w:r>
        <w:rPr>
          <w:vertAlign w:val="superscript"/>
        </w:rPr>
        <w:footnoteReference w:id="14"/>
      </w:r>
      <w:r>
        <w:rPr>
          <w:color w:val="000000"/>
        </w:rPr>
        <w:t xml:space="preserve"> could be explored. Generative artificial intelligence is in scope, if relevant to the proposed concept.</w:t>
      </w:r>
    </w:p>
    <w:p w:rsidR="009A342E" w:rsidRDefault="009A342E" w:rsidP="009A342E">
      <w:r>
        <w:rPr>
          <w:color w:val="000000"/>
        </w:rPr>
        <w:t xml:space="preserve">In line with the current definition of the EU </w:t>
      </w:r>
      <w:proofErr w:type="spellStart"/>
      <w:r>
        <w:rPr>
          <w:color w:val="000000"/>
        </w:rPr>
        <w:t>bioeconomy</w:t>
      </w:r>
      <w:proofErr w:type="spellEnd"/>
      <w:r>
        <w:rPr>
          <w:color w:val="000000"/>
        </w:rPr>
        <w:t xml:space="preserve"> strategy, health biotechnology sector is not in scope.</w:t>
      </w:r>
    </w:p>
    <w:p w:rsidR="009A342E" w:rsidRDefault="009A342E" w:rsidP="009A342E">
      <w:r>
        <w:rPr>
          <w:color w:val="000000"/>
        </w:rPr>
        <w:t>The scope covers all relevant aspects of the contribution of AI/digital methodologies and tools capable of delivering the high sustainability gains (resource efficiency, circularity, climate neutrality etc), as well as enhance the European industrial competitiveness (in particular in regards to improved quality of bio-based products, strategic autonomy, resilience and role of innovative SMEs). The proposals should demonstrate the upscaling from the current potential, align it to parallel actions on AI and other digital technologies and tools (e.g. database development, predictive capacities, EU-level initiatives (e.g. EU AI Act, Biotechnology and Biomanufacturing Initiative), and incorporate the systematic assessment of the risks and opportunities for the sector.</w:t>
      </w:r>
    </w:p>
    <w:p w:rsidR="009A342E" w:rsidRDefault="009A342E" w:rsidP="009A342E">
      <w:r>
        <w:rPr>
          <w:color w:val="000000"/>
        </w:rPr>
        <w:t xml:space="preserve">Multi-actor Approach (MAA) and social innovation are encouraged, especially to address the societal concerns and perceptions on the role of AI in the bio-based innovation and broader </w:t>
      </w:r>
      <w:proofErr w:type="spellStart"/>
      <w:r>
        <w:rPr>
          <w:color w:val="000000"/>
        </w:rPr>
        <w:t>bioeconomy</w:t>
      </w:r>
      <w:proofErr w:type="spellEnd"/>
      <w:r>
        <w:rPr>
          <w:color w:val="000000"/>
        </w:rPr>
        <w:t xml:space="preserve"> (e.g., impacts on skills and job opportunities/risks). All relevant stakeholders and value chain actors are in scope. Links to the Circular Bio-based Europe Joint Undertaking (CBE JU) operations are strongly encouraged. Proposals should also consider citizens engagement and dialogue, for seeking wider input and support, and encourage social innovation approaches.</w:t>
      </w:r>
    </w:p>
    <w:p w:rsidR="009A342E" w:rsidRDefault="009A342E" w:rsidP="009A342E">
      <w:r>
        <w:rPr>
          <w:color w:val="000000"/>
        </w:rPr>
        <w:t xml:space="preserve">Proposals should </w:t>
      </w:r>
      <w:proofErr w:type="gramStart"/>
      <w:r>
        <w:rPr>
          <w:color w:val="000000"/>
        </w:rPr>
        <w:t>take into account</w:t>
      </w:r>
      <w:proofErr w:type="gramEnd"/>
      <w:r>
        <w:rPr>
          <w:color w:val="000000"/>
        </w:rPr>
        <w:t xml:space="preserve"> the findings of the Global Resources Outlook 2024 of the International Resource Panel. Any risks to the ecosystems should be assessed and minimised, along the application of the Do-No-Significant-Harm (DNSH) principle.</w:t>
      </w:r>
    </w:p>
    <w:p w:rsidR="009A342E" w:rsidRDefault="009A342E" w:rsidP="009A342E">
      <w:r>
        <w:rPr>
          <w:color w:val="000000"/>
        </w:rPr>
        <w:t>The action will serve to develop guidelines for the policy makers, industry and civil society, in an inclusive co-creation process.</w:t>
      </w:r>
    </w:p>
    <w:p w:rsidR="009A342E" w:rsidRDefault="009A342E" w:rsidP="009A342E">
      <w:r>
        <w:rPr>
          <w:color w:val="000000"/>
        </w:rPr>
        <w:t>Proposals should include a task dedicated to sharing methodologies and findings with projects funded under this topic and with similar recent or ongoing projects.</w:t>
      </w:r>
    </w:p>
    <w:p w:rsidR="009A342E" w:rsidRDefault="009A342E" w:rsidP="009A342E">
      <w:r>
        <w:rPr>
          <w:color w:val="000000"/>
        </w:rPr>
        <w:t xml:space="preserve">Proposals should leverage the data and services available through European Research Infrastructures federated under the European Open Science Cloud, as well as data from relevant </w:t>
      </w:r>
      <w:r>
        <w:rPr>
          <w:color w:val="000000"/>
        </w:rPr>
        <w:lastRenderedPageBreak/>
        <w:t>Data Spaces. Proposals are encouraged to consider, where relevant, the services offered by European research infrastructures such as IBISBA or other relevant research infrastructures</w:t>
      </w:r>
      <w:r>
        <w:rPr>
          <w:vertAlign w:val="superscript"/>
        </w:rPr>
        <w:footnoteReference w:id="15"/>
      </w:r>
    </w:p>
    <w:p w:rsidR="009A342E" w:rsidRDefault="009A342E" w:rsidP="009A342E">
      <w:r>
        <w:rPr>
          <w:color w:val="000000"/>
        </w:rPr>
        <w:t>International cooperation is encouraged, e.g. with countries mentioned in the EU biotechnology and biomanufacturing initiative communication, such as United States of America, Japan, South Korea, and India, for win-win outcomes and mutual benefits.</w:t>
      </w:r>
    </w:p>
    <w:p w:rsidR="009A342E" w:rsidRDefault="009A342E" w:rsidP="009A342E">
      <w:pPr>
        <w:pStyle w:val="HeadingThree"/>
      </w:pPr>
      <w:bookmarkStart w:id="4" w:name="_Toc178784327"/>
      <w:r>
        <w:t>HORIZON-CL6-2025-01-CIRCBIO-11: Support to the EU Biotechnology and Biomanufacturing Initiative: scoping action</w:t>
      </w:r>
      <w:bookmarkEnd w:id="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3"/>
        <w:gridCol w:w="6979"/>
      </w:tblGrid>
      <w:tr w:rsidR="009A342E" w:rsidTr="006C50DA">
        <w:tc>
          <w:tcPr>
            <w:tcW w:w="0" w:type="auto"/>
            <w:gridSpan w:val="2"/>
          </w:tcPr>
          <w:p w:rsidR="009A342E" w:rsidRDefault="009A342E" w:rsidP="006C50DA">
            <w:pPr>
              <w:pStyle w:val="CellTextValue"/>
            </w:pPr>
            <w:r>
              <w:rPr>
                <w:b/>
              </w:rPr>
              <w:t>Call: Cluster 6 Call 01</w:t>
            </w:r>
          </w:p>
        </w:tc>
      </w:tr>
      <w:tr w:rsidR="009A342E" w:rsidTr="006C50DA">
        <w:tc>
          <w:tcPr>
            <w:tcW w:w="0" w:type="auto"/>
            <w:gridSpan w:val="2"/>
          </w:tcPr>
          <w:p w:rsidR="009A342E" w:rsidRDefault="009A342E" w:rsidP="006C50DA">
            <w:pPr>
              <w:pStyle w:val="CellTextValue"/>
            </w:pPr>
            <w:r>
              <w:rPr>
                <w:b/>
              </w:rPr>
              <w:t>Specific conditions</w:t>
            </w:r>
          </w:p>
        </w:tc>
      </w:tr>
      <w:tr w:rsidR="009A342E" w:rsidTr="006C50DA">
        <w:tc>
          <w:tcPr>
            <w:tcW w:w="0" w:type="auto"/>
          </w:tcPr>
          <w:p w:rsidR="009A342E" w:rsidRDefault="009A342E" w:rsidP="006C50DA">
            <w:pPr>
              <w:pStyle w:val="CellTextValue"/>
              <w:jc w:val="left"/>
            </w:pPr>
            <w:r>
              <w:rPr>
                <w:i/>
              </w:rPr>
              <w:t>Expected EU contribution per project</w:t>
            </w:r>
          </w:p>
        </w:tc>
        <w:tc>
          <w:tcPr>
            <w:tcW w:w="0" w:type="auto"/>
          </w:tcPr>
          <w:p w:rsidR="009A342E" w:rsidRDefault="009A342E" w:rsidP="006C50DA">
            <w:pPr>
              <w:pStyle w:val="CellTextValue"/>
            </w:pPr>
            <w:r>
              <w:t>The Commission estimates that an EU contribution of around EUR 2.00 million would allow these outcomes to be addressed appropriately. Nonetheless, this does not preclude submission and selection of a proposal requesting different amounts.</w:t>
            </w:r>
          </w:p>
        </w:tc>
      </w:tr>
      <w:tr w:rsidR="009A342E" w:rsidTr="006C50DA">
        <w:tc>
          <w:tcPr>
            <w:tcW w:w="0" w:type="auto"/>
          </w:tcPr>
          <w:p w:rsidR="009A342E" w:rsidRDefault="009A342E" w:rsidP="006C50DA">
            <w:pPr>
              <w:pStyle w:val="CellTextValue"/>
              <w:jc w:val="left"/>
            </w:pPr>
            <w:r>
              <w:rPr>
                <w:i/>
              </w:rPr>
              <w:t>Indicative budget</w:t>
            </w:r>
          </w:p>
        </w:tc>
        <w:tc>
          <w:tcPr>
            <w:tcW w:w="0" w:type="auto"/>
          </w:tcPr>
          <w:p w:rsidR="009A342E" w:rsidRDefault="009A342E" w:rsidP="006C50DA">
            <w:pPr>
              <w:pStyle w:val="CellTextValue"/>
            </w:pPr>
            <w:r>
              <w:t>The total indicative budget for the topic is EUR 2.00 million.</w:t>
            </w:r>
          </w:p>
        </w:tc>
      </w:tr>
      <w:tr w:rsidR="009A342E" w:rsidTr="006C50DA">
        <w:tc>
          <w:tcPr>
            <w:tcW w:w="0" w:type="auto"/>
          </w:tcPr>
          <w:p w:rsidR="009A342E" w:rsidRDefault="009A342E" w:rsidP="006C50DA">
            <w:pPr>
              <w:pStyle w:val="CellTextValue"/>
              <w:jc w:val="left"/>
            </w:pPr>
            <w:r>
              <w:rPr>
                <w:i/>
              </w:rPr>
              <w:t>Type of Action</w:t>
            </w:r>
          </w:p>
        </w:tc>
        <w:tc>
          <w:tcPr>
            <w:tcW w:w="0" w:type="auto"/>
          </w:tcPr>
          <w:p w:rsidR="009A342E" w:rsidRDefault="009A342E" w:rsidP="006C50DA">
            <w:pPr>
              <w:pStyle w:val="CellTextValue"/>
            </w:pPr>
            <w:r>
              <w:rPr>
                <w:color w:val="000000"/>
              </w:rPr>
              <w:t>Coordination and Support Actions</w:t>
            </w:r>
          </w:p>
        </w:tc>
      </w:tr>
      <w:tr w:rsidR="009A342E" w:rsidTr="006C50DA">
        <w:tc>
          <w:tcPr>
            <w:tcW w:w="0" w:type="auto"/>
          </w:tcPr>
          <w:p w:rsidR="009A342E" w:rsidRDefault="009A342E" w:rsidP="006C50DA">
            <w:pPr>
              <w:pStyle w:val="CellTextValue"/>
              <w:jc w:val="left"/>
            </w:pPr>
            <w:r>
              <w:rPr>
                <w:i/>
              </w:rPr>
              <w:t>Legal and financial set-up of the Grant Agreements</w:t>
            </w:r>
          </w:p>
        </w:tc>
        <w:tc>
          <w:tcPr>
            <w:tcW w:w="0" w:type="auto"/>
          </w:tcPr>
          <w:p w:rsidR="009A342E" w:rsidRDefault="009A342E" w:rsidP="006C50DA">
            <w:pPr>
              <w:pStyle w:val="CellTextValue"/>
            </w:pPr>
            <w:r>
              <w:rPr>
                <w:color w:val="000000"/>
              </w:rPr>
              <w:t>The rules are described in General Annex G. The following exceptions apply:</w:t>
            </w:r>
          </w:p>
          <w:p w:rsidR="009A342E" w:rsidRDefault="009A342E" w:rsidP="006C50DA">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
            </w:r>
            <w:r>
              <w:rPr>
                <w:color w:val="000000"/>
              </w:rPr>
              <w:t>.</w:t>
            </w:r>
          </w:p>
        </w:tc>
      </w:tr>
    </w:tbl>
    <w:p w:rsidR="009A342E" w:rsidRDefault="009A342E" w:rsidP="009A342E">
      <w:pPr>
        <w:spacing w:after="0" w:line="150" w:lineRule="auto"/>
      </w:pPr>
    </w:p>
    <w:p w:rsidR="009A342E" w:rsidRDefault="009A342E" w:rsidP="009A342E">
      <w:r>
        <w:rPr>
          <w:u w:val="single"/>
        </w:rPr>
        <w:t>Expected Outcome</w:t>
      </w:r>
      <w:r>
        <w:t xml:space="preserve">: </w:t>
      </w:r>
      <w:r>
        <w:rPr>
          <w:color w:val="000000"/>
        </w:rPr>
        <w:t xml:space="preserve">Successful proposals should contribute to a clean, competitive, safe, fair and circular economy and sustainable </w:t>
      </w:r>
      <w:proofErr w:type="spellStart"/>
      <w:r>
        <w:rPr>
          <w:color w:val="000000"/>
        </w:rPr>
        <w:t>bioeconomy</w:t>
      </w:r>
      <w:proofErr w:type="spellEnd"/>
      <w:r>
        <w:rPr>
          <w:color w:val="000000"/>
        </w:rPr>
        <w:t>, through the integration of biotechnology and biomanufacturing, supporting the innovative, circular and climate-neutral bio-based sector.</w:t>
      </w:r>
    </w:p>
    <w:p w:rsidR="009A342E" w:rsidRDefault="009A342E" w:rsidP="009A342E">
      <w:r>
        <w:rPr>
          <w:color w:val="000000"/>
        </w:rPr>
        <w:t>Project results are expected to contribute to all of the following expected outcomes:</w:t>
      </w:r>
    </w:p>
    <w:p w:rsidR="009A342E" w:rsidRDefault="009A342E" w:rsidP="009A342E">
      <w:pPr>
        <w:pStyle w:val="Paragraphedeliste"/>
        <w:numPr>
          <w:ilvl w:val="0"/>
          <w:numId w:val="7"/>
        </w:numPr>
      </w:pPr>
      <w:r>
        <w:rPr>
          <w:color w:val="000000"/>
        </w:rPr>
        <w:t>improved uptake of the solutions in the context of the EU biotechnology and biomanufacturing initiative</w:t>
      </w:r>
      <w:r>
        <w:rPr>
          <w:vertAlign w:val="superscript"/>
        </w:rPr>
        <w:footnoteReference w:id="17"/>
      </w:r>
      <w:r>
        <w:rPr>
          <w:color w:val="000000"/>
        </w:rPr>
        <w:t xml:space="preserve">, as related to the bio-based sector and broader </w:t>
      </w:r>
      <w:proofErr w:type="spellStart"/>
      <w:r>
        <w:rPr>
          <w:color w:val="000000"/>
        </w:rPr>
        <w:t>bioeconomy</w:t>
      </w:r>
      <w:proofErr w:type="spellEnd"/>
      <w:r>
        <w:rPr>
          <w:color w:val="000000"/>
        </w:rPr>
        <w:t xml:space="preserve"> </w:t>
      </w:r>
      <w:r>
        <w:rPr>
          <w:color w:val="000000"/>
        </w:rPr>
        <w:lastRenderedPageBreak/>
        <w:t>including by ensuring consumers' rights and needs (e.g., increased transparency, co-creating solutions that have high potential for uptake by consumers and stakeholders);</w:t>
      </w:r>
      <w:r>
        <w:rPr>
          <w:color w:val="000000"/>
        </w:rPr>
        <w:cr/>
        <w:t xml:space="preserve"> </w:t>
      </w:r>
    </w:p>
    <w:p w:rsidR="009A342E" w:rsidRDefault="009A342E" w:rsidP="009A342E">
      <w:pPr>
        <w:pStyle w:val="Paragraphedeliste"/>
        <w:numPr>
          <w:ilvl w:val="0"/>
          <w:numId w:val="7"/>
        </w:numPr>
      </w:pPr>
      <w:r>
        <w:rPr>
          <w:color w:val="000000"/>
        </w:rPr>
        <w:t>higher environmental sustainability, including of biomass uses for the development of new bio-based materials and products, replacing fossil- or less environmentally - friendly bio-based ones, and overall innovation capacity, enabled by the technical solutions and stakeholder engagement. This will focus on sharing best practice and inclusive participation across the EU and society;</w:t>
      </w:r>
    </w:p>
    <w:p w:rsidR="009A342E" w:rsidRDefault="009A342E" w:rsidP="009A342E">
      <w:pPr>
        <w:pStyle w:val="Paragraphedeliste"/>
        <w:numPr>
          <w:ilvl w:val="0"/>
          <w:numId w:val="7"/>
        </w:numPr>
      </w:pPr>
      <w:r>
        <w:rPr>
          <w:color w:val="000000"/>
        </w:rPr>
        <w:t>improved awareness on the level of EU, national and regional policy making, based on scientific excellence and inclusive co-creation process with relevant stakeholders;</w:t>
      </w:r>
    </w:p>
    <w:p w:rsidR="009A342E" w:rsidRDefault="009A342E" w:rsidP="009A342E">
      <w:pPr>
        <w:pStyle w:val="Paragraphedeliste"/>
        <w:numPr>
          <w:ilvl w:val="0"/>
          <w:numId w:val="7"/>
        </w:numPr>
      </w:pPr>
      <w:r>
        <w:rPr>
          <w:color w:val="000000"/>
        </w:rPr>
        <w:t xml:space="preserve">development of an EU vision and strategic research and innovation agenda to foster biotechnology and biomanufacturing solutions to address EU economic security risks and global challenges like climate change or biodiversity protection. </w:t>
      </w:r>
    </w:p>
    <w:p w:rsidR="009A342E" w:rsidRDefault="009A342E" w:rsidP="009A342E">
      <w:r>
        <w:rPr>
          <w:u w:val="single"/>
        </w:rPr>
        <w:t>Scope</w:t>
      </w:r>
      <w:r>
        <w:t xml:space="preserve">: </w:t>
      </w:r>
      <w:r>
        <w:rPr>
          <w:color w:val="000000"/>
        </w:rPr>
        <w:t xml:space="preserve">The action will take stock of the large number of funded actions on biotechnology and biomanufacturing (EU – including European Partnerships (in particular, under Circular Bio-based Europe Joint Undertaking (CBE JU)), EU Missions, and European research infrastructures programmes in the area of biotechnology such as EU-IBISBA, as well as others on the national, regional, and international level), related to industrial, environmental, marine and agri-food biotechnology (note: in line with the current definition of the EU </w:t>
      </w:r>
      <w:proofErr w:type="spellStart"/>
      <w:r>
        <w:rPr>
          <w:color w:val="000000"/>
        </w:rPr>
        <w:t>bioeconomy</w:t>
      </w:r>
      <w:proofErr w:type="spellEnd"/>
      <w:r>
        <w:rPr>
          <w:color w:val="000000"/>
        </w:rPr>
        <w:t xml:space="preserve"> strategy, health biotechnology is not in scope), as well as parallel broader scientific advances on the same topics.</w:t>
      </w:r>
    </w:p>
    <w:p w:rsidR="009A342E" w:rsidRDefault="009A342E" w:rsidP="009A342E">
      <w:r>
        <w:rPr>
          <w:color w:val="000000"/>
        </w:rPr>
        <w:t>Areas of interest could cover CRISPR-Cas gene editing, digital technologies, including as advanced under the EU-funded projects, e.g. project GENEBECON, funded under topic HORIZON-CL6-2021-ZEROPOLLUTION-01-08: New genomic techniques (NGT): understanding benefits and risks – focus on bio-based innovation, projects DETECTIVE and DARWIN, under topic HORIZON-CL6-2023-FARM2FORK-01-11: New detection methods on products derived from new genomic techniques for traceability, transparency and innovation in the food system etc., as well as social developments (trust-building measures, evidence-based policy making, social innovation (e.g. project B-TRUST, funded under topic HORIZON-CL6-2023-GOVERNANCE-01-6: Co-creation and trust-building measures for biotechnology and bio-based innovation systems). Also, the action may take into consideration the outputs from the parallel topics, such as HORIZON-CL6-2025-01-ZEROPOLLUTION-02: Environmental sustainability criteria for primary agricultural crops for industrial bio-based systems, or HORIZON-CL6-2025-02-FARM2FORK-14: Raising citizen awareness on alternative proteins, including those derived from biotechnology</w:t>
      </w:r>
      <w:r>
        <w:rPr>
          <w:b/>
          <w:color w:val="000000"/>
        </w:rPr>
        <w:t>,</w:t>
      </w:r>
      <w:r>
        <w:rPr>
          <w:color w:val="000000"/>
        </w:rPr>
        <w:t xml:space="preserve"> as well the results of the upcoming European Commission study on “Supporting the green transition via the EU Industrial Strategy: </w:t>
      </w:r>
      <w:r>
        <w:rPr>
          <w:color w:val="000000"/>
        </w:rPr>
        <w:lastRenderedPageBreak/>
        <w:t xml:space="preserve">opportunities and challenges for </w:t>
      </w:r>
      <w:proofErr w:type="spellStart"/>
      <w:r>
        <w:rPr>
          <w:color w:val="000000"/>
        </w:rPr>
        <w:t>bioeconomy</w:t>
      </w:r>
      <w:proofErr w:type="spellEnd"/>
      <w:r>
        <w:rPr>
          <w:color w:val="000000"/>
        </w:rPr>
        <w:t>, through bio-based industrial systems and biotechnology in the EU”</w:t>
      </w:r>
      <w:r>
        <w:rPr>
          <w:b/>
          <w:color w:val="000000"/>
        </w:rPr>
        <w:t>.</w:t>
      </w:r>
    </w:p>
    <w:p w:rsidR="009A342E" w:rsidRDefault="009A342E" w:rsidP="009A342E">
      <w:r>
        <w:rPr>
          <w:color w:val="000000"/>
        </w:rPr>
        <w:t xml:space="preserve">The action will provide scientifically robust assessment of the social, economic and environmental benefits and risks of biotechnologies and biomanufacturing and deliver recommendations in form of a consolidated EU vision and research and innovation agenda, on future trends and main innovation avenues. This action will serve as future basis of the next stages of implementation of the EU biotechnology and biomanufacturing Initiative or its follow-up actions/legislation (e.g. an upcoming EU biotech act, depending on its scope). It should also explore the role of biotechnology and biomanufacturing in terms of knowledge needs around the potential positive impacts and potential risks of biotechnology, including on biodiversity and ecosystems, e.g., resource efficiency, sustainable biomass management, impacts on air, water and soil quality. Furthermore, the action should inform the policy makers on national level, as an input to new or updated national </w:t>
      </w:r>
      <w:proofErr w:type="spellStart"/>
      <w:r>
        <w:rPr>
          <w:color w:val="000000"/>
        </w:rPr>
        <w:t>bioeconomy</w:t>
      </w:r>
      <w:proofErr w:type="spellEnd"/>
      <w:r>
        <w:rPr>
          <w:color w:val="000000"/>
        </w:rPr>
        <w:t xml:space="preserve"> strategies or roadmaps. Furthermore, as biotechnology has also been identified as a critical technology from the economic security perspective</w:t>
      </w:r>
      <w:r>
        <w:rPr>
          <w:vertAlign w:val="superscript"/>
        </w:rPr>
        <w:footnoteReference w:id="18"/>
      </w:r>
      <w:r>
        <w:rPr>
          <w:color w:val="000000"/>
        </w:rPr>
        <w:t xml:space="preserve"> , given its cross-cutting nature, and also as one of the technologies prioritised in the Strategic Technologies for Europe Platform (STEP) Regulation</w:t>
      </w:r>
      <w:r>
        <w:rPr>
          <w:vertAlign w:val="superscript"/>
        </w:rPr>
        <w:footnoteReference w:id="19"/>
      </w:r>
      <w:r>
        <w:rPr>
          <w:color w:val="000000"/>
        </w:rPr>
        <w:t>, such aspects should be covered in scope of the present action.</w:t>
      </w:r>
    </w:p>
    <w:p w:rsidR="009A342E" w:rsidRDefault="009A342E" w:rsidP="009A342E">
      <w:r>
        <w:rPr>
          <w:color w:val="000000"/>
        </w:rPr>
        <w:t xml:space="preserve">The action should include scoping activities related to the environmental aspects and the new advances e.g. on using synthetic biology for novel functionalities with large application in several (circular bio-based) industrial sectors. It will also support the capacity of bio-based systems to enable a sustainable carbon management and the better understanding of the carbon removal potential of bio-based economies. Proposals should </w:t>
      </w:r>
      <w:proofErr w:type="gramStart"/>
      <w:r>
        <w:rPr>
          <w:color w:val="000000"/>
        </w:rPr>
        <w:t>take into account</w:t>
      </w:r>
      <w:proofErr w:type="gramEnd"/>
      <w:r>
        <w:rPr>
          <w:color w:val="000000"/>
        </w:rPr>
        <w:t xml:space="preserve"> the findings of the Global Resources Outlook 2024 of the International Resource Panel. The proposals under the topic should ensure best use of outcomes from previous projects on biotechnology (some of which are already referenced in the topic), for building consumer trust regardless of regulatory status of the products. To promote this, mapping use cases from past projects should be included. Furthermore, synergies with projects on biotechnology/biomanufacturing pilot infrastructure, such as projects Pilots4U and </w:t>
      </w:r>
      <w:proofErr w:type="spellStart"/>
      <w:r>
        <w:rPr>
          <w:color w:val="000000"/>
        </w:rPr>
        <w:t>Copilot</w:t>
      </w:r>
      <w:proofErr w:type="spellEnd"/>
      <w:r>
        <w:rPr>
          <w:color w:val="000000"/>
        </w:rPr>
        <w:t xml:space="preserve"> (under BBI-JU and CBE-JU, respectively) is encouraged, given they may enable the accessibility to pilot infrastructure to bring biotech/biomanufacturing initiatives to the market.</w:t>
      </w:r>
    </w:p>
    <w:p w:rsidR="009A342E" w:rsidRDefault="009A342E" w:rsidP="009A342E">
      <w:r>
        <w:rPr>
          <w:color w:val="000000"/>
        </w:rPr>
        <w:t>International cooperation is encouraged, e.g. with countries mentioned in the communication on the EU biotechnology and biomanufacturing initiative, such as the United States of America, Japan, South Korea, and India, for win-win outcomes and mutual benefits.</w:t>
      </w:r>
      <w:r>
        <w:rPr>
          <w:b/>
          <w:color w:val="000000"/>
        </w:rPr>
        <w:t xml:space="preserve"> </w:t>
      </w:r>
    </w:p>
    <w:p w:rsidR="009A342E" w:rsidRDefault="009A342E" w:rsidP="009A342E">
      <w:r>
        <w:rPr>
          <w:color w:val="000000"/>
        </w:rPr>
        <w:t>This topic should involve the effective contribution of SSH disciplines.</w:t>
      </w:r>
    </w:p>
    <w:p w:rsidR="0058395C" w:rsidRDefault="0058395C"/>
    <w:p w:rsidR="009A342E" w:rsidRDefault="009A342E" w:rsidP="009A342E">
      <w:pPr>
        <w:pStyle w:val="HeadingThree"/>
      </w:pPr>
      <w:bookmarkStart w:id="5" w:name="_Toc178784332"/>
      <w:r>
        <w:lastRenderedPageBreak/>
        <w:t>HORIZON-CL6-2025-01-CIRCBIO-15: Bioprospecting and optimised production of marine/aquatic natural products in the omics &amp; artificial intelligence era</w:t>
      </w:r>
      <w:bookmarkEnd w:id="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0"/>
        <w:gridCol w:w="7052"/>
      </w:tblGrid>
      <w:tr w:rsidR="009A342E" w:rsidTr="006C50DA">
        <w:tc>
          <w:tcPr>
            <w:tcW w:w="0" w:type="auto"/>
            <w:gridSpan w:val="2"/>
          </w:tcPr>
          <w:p w:rsidR="009A342E" w:rsidRDefault="009A342E" w:rsidP="006C50DA">
            <w:pPr>
              <w:pStyle w:val="CellTextValue"/>
            </w:pPr>
            <w:r>
              <w:rPr>
                <w:b/>
              </w:rPr>
              <w:t>Call: Cluster 6 Call 01</w:t>
            </w:r>
          </w:p>
        </w:tc>
      </w:tr>
      <w:tr w:rsidR="009A342E" w:rsidTr="006C50DA">
        <w:tc>
          <w:tcPr>
            <w:tcW w:w="0" w:type="auto"/>
            <w:gridSpan w:val="2"/>
          </w:tcPr>
          <w:p w:rsidR="009A342E" w:rsidRDefault="009A342E" w:rsidP="006C50DA">
            <w:pPr>
              <w:pStyle w:val="CellTextValue"/>
            </w:pPr>
            <w:r>
              <w:rPr>
                <w:b/>
              </w:rPr>
              <w:t>Specific conditions</w:t>
            </w:r>
          </w:p>
        </w:tc>
      </w:tr>
      <w:tr w:rsidR="009A342E" w:rsidTr="006C50DA">
        <w:tc>
          <w:tcPr>
            <w:tcW w:w="0" w:type="auto"/>
          </w:tcPr>
          <w:p w:rsidR="009A342E" w:rsidRDefault="009A342E" w:rsidP="006C50DA">
            <w:pPr>
              <w:pStyle w:val="CellTextValue"/>
              <w:jc w:val="left"/>
            </w:pPr>
            <w:r>
              <w:rPr>
                <w:i/>
              </w:rPr>
              <w:t>Expected EU contribution per project</w:t>
            </w:r>
          </w:p>
        </w:tc>
        <w:tc>
          <w:tcPr>
            <w:tcW w:w="0" w:type="auto"/>
          </w:tcPr>
          <w:p w:rsidR="009A342E" w:rsidRDefault="009A342E" w:rsidP="006C50DA">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9A342E" w:rsidTr="006C50DA">
        <w:tc>
          <w:tcPr>
            <w:tcW w:w="0" w:type="auto"/>
          </w:tcPr>
          <w:p w:rsidR="009A342E" w:rsidRDefault="009A342E" w:rsidP="006C50DA">
            <w:pPr>
              <w:pStyle w:val="CellTextValue"/>
              <w:jc w:val="left"/>
            </w:pPr>
            <w:r>
              <w:rPr>
                <w:i/>
              </w:rPr>
              <w:t>Indicative budget</w:t>
            </w:r>
          </w:p>
        </w:tc>
        <w:tc>
          <w:tcPr>
            <w:tcW w:w="0" w:type="auto"/>
          </w:tcPr>
          <w:p w:rsidR="009A342E" w:rsidRDefault="009A342E" w:rsidP="006C50DA">
            <w:pPr>
              <w:pStyle w:val="CellTextValue"/>
            </w:pPr>
            <w:r>
              <w:t>The total indicative budget for the topic is EUR 12.00 million.</w:t>
            </w:r>
          </w:p>
        </w:tc>
      </w:tr>
      <w:tr w:rsidR="009A342E" w:rsidTr="006C50DA">
        <w:tc>
          <w:tcPr>
            <w:tcW w:w="0" w:type="auto"/>
          </w:tcPr>
          <w:p w:rsidR="009A342E" w:rsidRDefault="009A342E" w:rsidP="006C50DA">
            <w:pPr>
              <w:pStyle w:val="CellTextValue"/>
              <w:jc w:val="left"/>
            </w:pPr>
            <w:r>
              <w:rPr>
                <w:i/>
              </w:rPr>
              <w:t>Type of Action</w:t>
            </w:r>
          </w:p>
        </w:tc>
        <w:tc>
          <w:tcPr>
            <w:tcW w:w="0" w:type="auto"/>
          </w:tcPr>
          <w:p w:rsidR="009A342E" w:rsidRDefault="009A342E" w:rsidP="006C50DA">
            <w:pPr>
              <w:pStyle w:val="CellTextValue"/>
            </w:pPr>
            <w:r>
              <w:rPr>
                <w:color w:val="000000"/>
              </w:rPr>
              <w:t>Innovation Actions</w:t>
            </w:r>
          </w:p>
        </w:tc>
      </w:tr>
      <w:tr w:rsidR="009A342E" w:rsidTr="006C50DA">
        <w:tc>
          <w:tcPr>
            <w:tcW w:w="0" w:type="auto"/>
          </w:tcPr>
          <w:p w:rsidR="009A342E" w:rsidRDefault="009A342E" w:rsidP="006C50DA">
            <w:pPr>
              <w:pStyle w:val="CellTextValue"/>
              <w:jc w:val="left"/>
            </w:pPr>
            <w:r>
              <w:rPr>
                <w:i/>
              </w:rPr>
              <w:t>Technology Readiness Level</w:t>
            </w:r>
          </w:p>
        </w:tc>
        <w:tc>
          <w:tcPr>
            <w:tcW w:w="0" w:type="auto"/>
          </w:tcPr>
          <w:p w:rsidR="009A342E" w:rsidRDefault="009A342E" w:rsidP="006C50DA">
            <w:pPr>
              <w:pStyle w:val="CellTextValue"/>
            </w:pPr>
            <w:r>
              <w:rPr>
                <w:color w:val="000000"/>
              </w:rPr>
              <w:t>Activities are expected to achieve TRL 6-7 by the end of the project – see General Annex B. Activities may start at any TRL.</w:t>
            </w:r>
          </w:p>
        </w:tc>
      </w:tr>
    </w:tbl>
    <w:p w:rsidR="009A342E" w:rsidRDefault="009A342E" w:rsidP="009A342E">
      <w:pPr>
        <w:spacing w:after="0" w:line="150" w:lineRule="auto"/>
      </w:pPr>
    </w:p>
    <w:p w:rsidR="009A342E" w:rsidRDefault="009A342E" w:rsidP="009A342E">
      <w:r>
        <w:rPr>
          <w:u w:val="single"/>
        </w:rPr>
        <w:t>Expected Outcome</w:t>
      </w:r>
      <w:r>
        <w:t xml:space="preserve">: </w:t>
      </w:r>
      <w:r>
        <w:rPr>
          <w:color w:val="000000"/>
        </w:rPr>
        <w:t xml:space="preserve">Successful proposals should contribute to reaching the impacts of this destination, and European policies, in particular the European Green Deal, the </w:t>
      </w:r>
      <w:proofErr w:type="spellStart"/>
      <w:r>
        <w:rPr>
          <w:color w:val="000000"/>
        </w:rPr>
        <w:t>bioeconomy</w:t>
      </w:r>
      <w:proofErr w:type="spellEnd"/>
      <w:r>
        <w:rPr>
          <w:color w:val="000000"/>
        </w:rPr>
        <w:t xml:space="preserve"> strategy, the new approach for a blue economy. They should help harnessing the full potential of marine and freshwater biological resources and blue biotechnology is leveraged to deliver societal benefits, such as greener more environmentally-friendly industrial products and processes, support public health and environmental conservation.</w:t>
      </w:r>
    </w:p>
    <w:p w:rsidR="009A342E" w:rsidRDefault="009A342E" w:rsidP="009A342E">
      <w:r>
        <w:rPr>
          <w:color w:val="000000"/>
        </w:rPr>
        <w:t>Project results are expected to contribute to all of the following expected outcomes:</w:t>
      </w:r>
    </w:p>
    <w:p w:rsidR="009A342E" w:rsidRDefault="009A342E" w:rsidP="009A342E">
      <w:pPr>
        <w:pStyle w:val="Paragraphedeliste"/>
        <w:numPr>
          <w:ilvl w:val="0"/>
          <w:numId w:val="9"/>
        </w:numPr>
      </w:pPr>
      <w:proofErr w:type="spellStart"/>
      <w:r>
        <w:rPr>
          <w:color w:val="000000"/>
        </w:rPr>
        <w:t>demostrating</w:t>
      </w:r>
      <w:proofErr w:type="spellEnd"/>
      <w:r>
        <w:rPr>
          <w:color w:val="000000"/>
        </w:rPr>
        <w:t xml:space="preserve"> the broadened range of more sustainable and more accessible marine/aquatic natural products with high value applications</w:t>
      </w:r>
    </w:p>
    <w:p w:rsidR="009A342E" w:rsidRDefault="009A342E" w:rsidP="009A342E">
      <w:pPr>
        <w:pStyle w:val="Paragraphedeliste"/>
        <w:numPr>
          <w:ilvl w:val="0"/>
          <w:numId w:val="9"/>
        </w:numPr>
      </w:pPr>
      <w:r>
        <w:rPr>
          <w:color w:val="000000"/>
        </w:rPr>
        <w:t>demonstrating advances in the development and/or application related computational tools such as AI etc. in the biodiscovery pipeline;</w:t>
      </w:r>
    </w:p>
    <w:p w:rsidR="009A342E" w:rsidRDefault="009A342E" w:rsidP="009A342E">
      <w:pPr>
        <w:pStyle w:val="Paragraphedeliste"/>
        <w:numPr>
          <w:ilvl w:val="0"/>
          <w:numId w:val="9"/>
        </w:numPr>
      </w:pPr>
      <w:r>
        <w:rPr>
          <w:color w:val="000000"/>
        </w:rPr>
        <w:t>increased commitment to biodiversity preservation and conservation through enabling bioproduction routes (biosynthesis, fermentation, culturing) of natural products, ensuring that the biodiscovery of new compounds does not lead to unsustainable harvesting from the wild and a sustainable use of genetic diversity;</w:t>
      </w:r>
    </w:p>
    <w:p w:rsidR="009A342E" w:rsidRDefault="009A342E" w:rsidP="009A342E">
      <w:pPr>
        <w:pStyle w:val="Paragraphedeliste"/>
        <w:numPr>
          <w:ilvl w:val="0"/>
          <w:numId w:val="9"/>
        </w:numPr>
      </w:pPr>
      <w:r>
        <w:rPr>
          <w:color w:val="000000"/>
        </w:rPr>
        <w:t xml:space="preserve">awareness raised and creation of a better framework for blue biotechnology innovation and uptake through broad stakeholder engagement, supporting the EU biotechnology and biomanufacturing initiative.  </w:t>
      </w:r>
    </w:p>
    <w:p w:rsidR="009A342E" w:rsidRDefault="009A342E" w:rsidP="009A342E">
      <w:r>
        <w:rPr>
          <w:u w:val="single"/>
        </w:rPr>
        <w:t>Scope</w:t>
      </w:r>
      <w:r>
        <w:t xml:space="preserve">: </w:t>
      </w:r>
      <w:r>
        <w:rPr>
          <w:color w:val="000000"/>
        </w:rPr>
        <w:t xml:space="preserve">The immense diversity of marine micro- and macro-organisms and their communities represents a rich and largely unexplored reservoir of natural products and their base ingredients. To survive in habitats ranging from deep-sea sediments to polar regions or shallow waters, marine organisms have developed a broad spectrum of structures, defence mechanisms and metabolic pathways resulting in natural products with vast chemical diversity and wide range </w:t>
      </w:r>
      <w:r>
        <w:rPr>
          <w:color w:val="000000"/>
        </w:rPr>
        <w:lastRenderedPageBreak/>
        <w:t>of biological activities. The biological interplay between interspecies communities, e.g. symbiotic or defence mechanisms, may offer attractive leads and is also in scope. For the coverage of terrestrial bioprospecting see parallel topic HORIZON-CL6-2025-01-CIRCBIO-09: Bioprospecting and optimized production of the terrestrial natural products: new opportunities for bio-based sectors.</w:t>
      </w:r>
    </w:p>
    <w:p w:rsidR="009A342E" w:rsidRDefault="009A342E" w:rsidP="009A342E">
      <w:r>
        <w:rPr>
          <w:color w:val="000000"/>
        </w:rPr>
        <w:t xml:space="preserve">The action covers modern biodiscovery approaches including, </w:t>
      </w:r>
      <w:r>
        <w:rPr>
          <w:i/>
          <w:color w:val="000000"/>
        </w:rPr>
        <w:t>in-silico</w:t>
      </w:r>
      <w:r>
        <w:rPr>
          <w:color w:val="000000"/>
        </w:rPr>
        <w:t xml:space="preserve"> bioprospecting and the full integration of digital methods (e.g., statistics, algorithms, AI, data science, modelling, digital twins) with bioinformatics and biotechnological tools, which make possible the identification and production of bioactive natural compounds with potential high-value application in sectors such as pharmaceuticals, nutraceuticals, cosmetics, food/feed additives, agrochemicals, etc. In the context of this topic, natural products are understood as biologically active products such as secondary metabolites as well as enzymes derived from marine/aquatic organisms.</w:t>
      </w:r>
    </w:p>
    <w:p w:rsidR="009A342E" w:rsidRDefault="009A342E" w:rsidP="009A342E">
      <w:r>
        <w:rPr>
          <w:color w:val="000000"/>
        </w:rPr>
        <w:t>Targeted marine/aquatic biological resources can be sourced from their natural environment (in-situ) and/or from open access and public/private collections and gene-banks (ex-situ).</w:t>
      </w:r>
    </w:p>
    <w:p w:rsidR="009A342E" w:rsidRDefault="009A342E" w:rsidP="009A342E">
      <w:r>
        <w:rPr>
          <w:color w:val="000000"/>
        </w:rPr>
        <w:t>The aim is to broaden the range of novel compounds, lowering the production costs, quicken the development pipeline, and enable more innovation for the industrial operators, with clear-cut benefits for the final users. Projects will have a strong industry drive and include demonstration activities to proof the techno/economic viability of the production of the proposed marine natural product(s) and/or the biodiscovery platform tools combining digital and biotechnologies.</w:t>
      </w:r>
    </w:p>
    <w:p w:rsidR="009A342E" w:rsidRDefault="009A342E" w:rsidP="009A342E">
      <w:r>
        <w:rPr>
          <w:color w:val="000000"/>
        </w:rPr>
        <w:t>The scope covers relevant steps of the biodiscovery process such as isolation and characterization of microbial strains and consortia, genomic characterisation, creation of natural product libraries, bioactivity screening, natural products isolation and purification, chemical structure elucidation or optimized production pathways via biotechnology and biomanufacturing approaches in suitable industrial facilities (bioreactors/biorefineries, e.g. for microbial production), synthetic biology or gene editing. The integration of digital approaches (AI, computer algorithms such as machine learning, modelling, data science etc) on optimizing the biodiscovery processes such as identification of biosynthetic gene clusters and metabolic pathways, enzyme selection, combinatorial assembly and annotation of high-throughput DNA sequencing data, bioactivity prediction, elucidation of the structure of compounds, experimental design etc is in scope. Safety to the end-users and operators needs to be assessed and guaranteed.</w:t>
      </w:r>
    </w:p>
    <w:p w:rsidR="009A342E" w:rsidRDefault="009A342E" w:rsidP="009A342E">
      <w:r>
        <w:rPr>
          <w:color w:val="000000"/>
        </w:rPr>
        <w:t xml:space="preserve">Ensure avoiding overlaps to past or ongoing topics (e.g. projects funded under the topic HORIZON-CL6-2022-CIRCBIO-02-05-two-stage: Life sciences and their convergence with digital technologies for prospecting, understanding and sustainably using biological resources, topic HORIZON-CL6-2023-CIRCBIO-01: Broadening the spectrum of robust enzymes and microbial hosts in industrial biotechnology), consider synergies to parallel actions (e.g. HORIZON-CL6-2025-01-CIRCBIO-09: Bioprospecting and optimized production of the terrestrial natural products: new opportunities for bio-based sectors as well as funded under the topic HORIZON-2020-FNR-11-2020 - Prospecting aquatic and terrestrial natural biological </w:t>
      </w:r>
      <w:r>
        <w:rPr>
          <w:color w:val="000000"/>
        </w:rPr>
        <w:lastRenderedPageBreak/>
        <w:t xml:space="preserve">resources for biologically active compounds </w:t>
      </w:r>
      <w:r>
        <w:rPr>
          <w:vertAlign w:val="superscript"/>
        </w:rPr>
        <w:footnoteReference w:id="20"/>
      </w:r>
      <w:r>
        <w:rPr>
          <w:color w:val="000000"/>
        </w:rPr>
        <w:t>). The action is expected to establish links with relevant projects funded under the EU Mission Restore our Ocean and Waters.</w:t>
      </w:r>
    </w:p>
    <w:p w:rsidR="009A342E" w:rsidRDefault="009A342E" w:rsidP="009A342E">
      <w:r>
        <w:rPr>
          <w:color w:val="000000"/>
        </w:rPr>
        <w:t>The action needs to guarantee biodiversity preservation and comply with applicable EU regulations and international rules on access to biological resources, their sustainable use and the fair and equitable sharing of benefits from their utilisation, including the Nagoya protocol and the agreement on the conservation and sustainable use of marine biological diversity of areas beyond national jurisdiction (BBNJ). This can be addressed, inter alia, by covering propagation of biological material, including by in vitro cultivation, as well as by biotechnology approaches. A life-cycle assessment should be carried out in order to evaluate the environmental, economic and social impact of the developed product(s). Proposals should contribute to the understanding of potential trade-offs inherent in the exploitation of ecosystems, their potential to deliver ecosystem services and ideally provide solution approaches to address these trade-offs. Potential risks to the environment, ecosystems and society as well as benefits should also be assessed under this topic.</w:t>
      </w:r>
    </w:p>
    <w:p w:rsidR="009A342E" w:rsidRDefault="009A342E" w:rsidP="009A342E">
      <w:r>
        <w:rPr>
          <w:color w:val="000000"/>
        </w:rPr>
        <w:t>Proposals are encouraged to consider, where relevant, the services offered by European research infrastructures such as EU-OPENSCREEN, ELIXIR, EMBRC ERIC, IBISBA or other relevant research infrastructures</w:t>
      </w:r>
      <w:r>
        <w:rPr>
          <w:color w:val="000000"/>
          <w:vertAlign w:val="superscript"/>
        </w:rPr>
        <w:t>138</w:t>
      </w:r>
      <w:r>
        <w:rPr>
          <w:color w:val="000000"/>
          <w:u w:val="single"/>
        </w:rPr>
        <w:t>.</w:t>
      </w:r>
    </w:p>
    <w:p w:rsidR="009A342E" w:rsidRDefault="009A342E">
      <w:bookmarkStart w:id="6" w:name="_GoBack"/>
      <w:bookmarkEnd w:id="6"/>
    </w:p>
    <w:sectPr w:rsidR="009A34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42E" w:rsidRDefault="009A342E" w:rsidP="009A342E">
      <w:pPr>
        <w:spacing w:after="0" w:line="240" w:lineRule="auto"/>
      </w:pPr>
      <w:r>
        <w:separator/>
      </w:r>
    </w:p>
  </w:endnote>
  <w:endnote w:type="continuationSeparator" w:id="0">
    <w:p w:rsidR="009A342E" w:rsidRDefault="009A342E" w:rsidP="009A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42E" w:rsidRDefault="009A342E" w:rsidP="009A342E">
      <w:pPr>
        <w:spacing w:after="0" w:line="240" w:lineRule="auto"/>
      </w:pPr>
      <w:r>
        <w:separator/>
      </w:r>
    </w:p>
  </w:footnote>
  <w:footnote w:type="continuationSeparator" w:id="0">
    <w:p w:rsidR="009A342E" w:rsidRDefault="009A342E" w:rsidP="009A342E">
      <w:pPr>
        <w:spacing w:after="0" w:line="240" w:lineRule="auto"/>
      </w:pPr>
      <w:r>
        <w:continuationSeparator/>
      </w:r>
    </w:p>
  </w:footnote>
  <w:footnote w:id="1">
    <w:p w:rsidR="009A342E" w:rsidRDefault="009A342E" w:rsidP="009A342E">
      <w:pPr>
        <w:pStyle w:val="footnote1"/>
      </w:pPr>
      <w:r>
        <w:rPr>
          <w:vertAlign w:val="superscript"/>
        </w:rPr>
        <w:footnoteRef/>
      </w:r>
      <w:r>
        <w:rPr>
          <w:vertAlign w:val="superscript"/>
        </w:rPr>
        <w:tab/>
      </w:r>
      <w:r>
        <w:rPr>
          <w:color w:val="000000"/>
        </w:rPr>
        <w:t xml:space="preserve">This </w:t>
      </w:r>
      <w:hyperlink r:id="rId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
        <w:r>
          <w:rPr>
            <w:color w:val="0000FF"/>
            <w:szCs w:val="20"/>
            <w:u w:val="single"/>
          </w:rPr>
          <w:t>https://ec.europa.eu/info/funding-tenders/opportunities/docs/2021-2027/horizon/guidance/ls-decision_he_en.pdf</w:t>
        </w:r>
      </w:hyperlink>
    </w:p>
  </w:footnote>
  <w:footnote w:id="2">
    <w:p w:rsidR="009A342E" w:rsidRDefault="009A342E" w:rsidP="009A342E">
      <w:pPr>
        <w:pStyle w:val="footnote1"/>
      </w:pPr>
      <w:r>
        <w:rPr>
          <w:vertAlign w:val="superscript"/>
        </w:rPr>
        <w:footnoteRef/>
      </w:r>
      <w:r>
        <w:rPr>
          <w:vertAlign w:val="superscript"/>
        </w:rPr>
        <w:tab/>
      </w:r>
      <w:hyperlink r:id="rId3">
        <w:r>
          <w:rPr>
            <w:color w:val="0000FF"/>
            <w:szCs w:val="20"/>
            <w:u w:val="single"/>
          </w:rPr>
          <w:t>New Report: Food 2030 Research and Innovation – Pathways for action 2.0 - European Commission (europa.eu)</w:t>
        </w:r>
      </w:hyperlink>
      <w:r>
        <w:rPr>
          <w:color w:val="000000"/>
          <w:u w:val="single"/>
        </w:rPr>
        <w:t xml:space="preserve">. </w:t>
      </w:r>
      <w:r>
        <w:rPr>
          <w:color w:val="000000"/>
        </w:rPr>
        <w:t>See Pathway 4“Alternative Proteins for Dietary Shift”.</w:t>
      </w:r>
    </w:p>
  </w:footnote>
  <w:footnote w:id="3">
    <w:p w:rsidR="009A342E" w:rsidRDefault="009A342E" w:rsidP="009A342E">
      <w:pPr>
        <w:pStyle w:val="footnote1"/>
      </w:pPr>
      <w:r>
        <w:rPr>
          <w:vertAlign w:val="superscript"/>
        </w:rPr>
        <w:footnoteRef/>
      </w:r>
      <w:r>
        <w:rPr>
          <w:vertAlign w:val="superscript"/>
        </w:rPr>
        <w:tab/>
      </w:r>
      <w:r>
        <w:rPr>
          <w:color w:val="000000"/>
        </w:rPr>
        <w:t>COM (2024) 137 final.</w:t>
      </w:r>
    </w:p>
  </w:footnote>
  <w:footnote w:id="4">
    <w:p w:rsidR="009A342E" w:rsidRDefault="009A342E" w:rsidP="009A342E">
      <w:pPr>
        <w:pStyle w:val="footnote1"/>
      </w:pPr>
      <w:r>
        <w:rPr>
          <w:vertAlign w:val="superscript"/>
        </w:rPr>
        <w:footnoteRef/>
      </w:r>
      <w:r>
        <w:rPr>
          <w:vertAlign w:val="superscript"/>
        </w:rPr>
        <w:tab/>
      </w:r>
      <w:r>
        <w:rPr>
          <w:color w:val="000000"/>
        </w:rPr>
        <w:t>According to the OECD, biotechnology is defined as the application of science and technology to living organisms, as well as parts, products and models of them, to alter living or non-living materials for the production of knowledge, goods and services. Advanced biotechnologies are geared towards various application areas, being the main ones medical and pharmaceutical (“red” biotechnology), agri-food (“green” biotechnology), and industrial and environmental (“white” biotechnology), with the marine biotechnology (so-called “blue”) gaining increased attention.</w:t>
      </w:r>
    </w:p>
  </w:footnote>
  <w:footnote w:id="5">
    <w:p w:rsidR="009A342E" w:rsidRDefault="009A342E" w:rsidP="009A342E">
      <w:pPr>
        <w:pStyle w:val="footnote1"/>
      </w:pPr>
      <w:r>
        <w:rPr>
          <w:vertAlign w:val="superscript"/>
        </w:rPr>
        <w:footnoteRef/>
      </w:r>
      <w:r>
        <w:rPr>
          <w:vertAlign w:val="superscript"/>
        </w:rPr>
        <w:tab/>
      </w:r>
      <w:hyperlink r:id="rId4">
        <w:r>
          <w:rPr>
            <w:color w:val="0000FF"/>
            <w:szCs w:val="20"/>
            <w:u w:val="single"/>
          </w:rPr>
          <w:t>Co-creation methodology for biotechnology trust-building measures for improved innovation uptake in the bio-based innovation system | B-TRUST | Project | Fact sheet | HORIZON | CORDIS | European Commission (europa.eu)</w:t>
        </w:r>
      </w:hyperlink>
    </w:p>
  </w:footnote>
  <w:footnote w:id="6">
    <w:p w:rsidR="009A342E" w:rsidRDefault="009A342E" w:rsidP="009A342E">
      <w:pPr>
        <w:pStyle w:val="footnote1"/>
      </w:pPr>
      <w:r>
        <w:rPr>
          <w:vertAlign w:val="superscript"/>
        </w:rPr>
        <w:footnoteRef/>
      </w:r>
      <w:r>
        <w:rPr>
          <w:vertAlign w:val="superscript"/>
        </w:rPr>
        <w:tab/>
      </w:r>
      <w:hyperlink r:id="rId5">
        <w:r>
          <w:rPr>
            <w:color w:val="0000FF"/>
            <w:szCs w:val="20"/>
            <w:u w:val="single"/>
          </w:rPr>
          <w:t>New Report: Food 2030 Research and Innovation – Pathways for action 2.0 - European Commission (europa.eu)</w:t>
        </w:r>
      </w:hyperlink>
      <w:r>
        <w:rPr>
          <w:color w:val="000000"/>
          <w:u w:val="single"/>
        </w:rPr>
        <w:t xml:space="preserve">.See pathway 6 </w:t>
      </w:r>
      <w:proofErr w:type="gramStart"/>
      <w:r>
        <w:rPr>
          <w:color w:val="000000"/>
          <w:u w:val="single"/>
        </w:rPr>
        <w:t>‘ The</w:t>
      </w:r>
      <w:proofErr w:type="gramEnd"/>
      <w:r>
        <w:rPr>
          <w:color w:val="000000"/>
          <w:u w:val="single"/>
        </w:rPr>
        <w:t xml:space="preserve"> Microbiome World”.</w:t>
      </w:r>
    </w:p>
  </w:footnote>
  <w:footnote w:id="7">
    <w:p w:rsidR="009A342E" w:rsidRDefault="009A342E" w:rsidP="009A342E">
      <w:pPr>
        <w:pStyle w:val="footnote1"/>
      </w:pPr>
      <w:r>
        <w:rPr>
          <w:vertAlign w:val="superscript"/>
        </w:rPr>
        <w:footnoteRef/>
      </w:r>
      <w:r>
        <w:rPr>
          <w:vertAlign w:val="superscript"/>
        </w:rPr>
        <w:tab/>
      </w:r>
      <w:r>
        <w:rPr>
          <w:color w:val="000000"/>
        </w:rPr>
        <w:t>COM (2024)137 final.</w:t>
      </w:r>
    </w:p>
  </w:footnote>
  <w:footnote w:id="8">
    <w:p w:rsidR="009A342E" w:rsidRDefault="009A342E" w:rsidP="009A342E">
      <w:pPr>
        <w:pStyle w:val="footnote1"/>
      </w:pPr>
      <w:r>
        <w:rPr>
          <w:vertAlign w:val="superscript"/>
        </w:rPr>
        <w:footnoteRef/>
      </w:r>
      <w:r>
        <w:rPr>
          <w:vertAlign w:val="superscript"/>
        </w:rPr>
        <w:tab/>
      </w:r>
      <w:hyperlink r:id="rId6">
        <w:r>
          <w:rPr>
            <w:color w:val="0000FF"/>
            <w:szCs w:val="20"/>
            <w:u w:val="single"/>
          </w:rPr>
          <w:t>https://link.springer.com/article/10.1007/s11367-022-02087-0</w:t>
        </w:r>
      </w:hyperlink>
    </w:p>
  </w:footnote>
  <w:footnote w:id="9">
    <w:p w:rsidR="009A342E" w:rsidRDefault="009A342E" w:rsidP="009A342E">
      <w:pPr>
        <w:pStyle w:val="footnote1"/>
      </w:pPr>
      <w:r>
        <w:rPr>
          <w:vertAlign w:val="superscript"/>
        </w:rPr>
        <w:footnoteRef/>
      </w:r>
      <w:r>
        <w:rPr>
          <w:vertAlign w:val="superscript"/>
        </w:rPr>
        <w:tab/>
      </w:r>
      <w:r>
        <w:rPr>
          <w:color w:val="000000"/>
        </w:rPr>
        <w:t xml:space="preserve">RIV4BFS is a thematic RIV’s use case. RIV4BFS can involve actors from across the quadruple helix, meaning promoting a model of cooperation between industry, academia, civil society, and public authorities, with a strong emphasis on citizens and their needs. </w:t>
      </w:r>
      <w:hyperlink r:id="rId7">
        <w:r>
          <w:rPr>
            <w:color w:val="0000FF"/>
            <w:szCs w:val="20"/>
            <w:u w:val="single"/>
          </w:rPr>
          <w:t>The New European Innovation Agenda - European Commission (europa.eu)</w:t>
        </w:r>
      </w:hyperlink>
      <w:r>
        <w:rPr>
          <w:color w:val="000000"/>
        </w:rPr>
        <w:t>.</w:t>
      </w:r>
    </w:p>
  </w:footnote>
  <w:footnote w:id="10">
    <w:p w:rsidR="009A342E" w:rsidRDefault="009A342E" w:rsidP="009A342E">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8">
        <w:r>
          <w:rPr>
            <w:color w:val="0000FF"/>
            <w:szCs w:val="20"/>
            <w:u w:val="single"/>
          </w:rPr>
          <w:t>https://ri-portfolio.esfri.eu/</w:t>
        </w:r>
      </w:hyperlink>
    </w:p>
  </w:footnote>
  <w:footnote w:id="11">
    <w:p w:rsidR="009A342E" w:rsidRDefault="009A342E" w:rsidP="009A342E">
      <w:pPr>
        <w:pStyle w:val="footnote1"/>
      </w:pPr>
      <w:r>
        <w:rPr>
          <w:vertAlign w:val="superscript"/>
        </w:rPr>
        <w:footnoteRef/>
      </w:r>
      <w:r>
        <w:rPr>
          <w:vertAlign w:val="superscript"/>
        </w:rPr>
        <w:tab/>
      </w:r>
      <w:r>
        <w:rPr>
          <w:color w:val="000000"/>
        </w:rPr>
        <w:t>Related to e.g. statistics, algorithms, AI, data science, modelling etc.</w:t>
      </w:r>
    </w:p>
  </w:footnote>
  <w:footnote w:id="12">
    <w:p w:rsidR="009A342E" w:rsidRDefault="009A342E" w:rsidP="009A342E">
      <w:pPr>
        <w:pStyle w:val="footnote1"/>
      </w:pPr>
      <w:r>
        <w:rPr>
          <w:vertAlign w:val="superscript"/>
        </w:rPr>
        <w:footnoteRef/>
      </w:r>
      <w:r>
        <w:rPr>
          <w:vertAlign w:val="superscript"/>
        </w:rPr>
        <w:tab/>
      </w:r>
      <w:r>
        <w:rPr>
          <w:color w:val="000000"/>
        </w:rPr>
        <w:t>Commission Recommendation (EU) 2022/2510 of 8 December 2022 establishing a European assessment framework for ‘safe and sustainable by design’ chemicals and materials.</w:t>
      </w:r>
    </w:p>
  </w:footnote>
  <w:footnote w:id="13">
    <w:p w:rsidR="009A342E" w:rsidRDefault="009A342E" w:rsidP="009A342E">
      <w:pPr>
        <w:pStyle w:val="footnote1"/>
      </w:pPr>
      <w:r>
        <w:rPr>
          <w:vertAlign w:val="superscript"/>
        </w:rPr>
        <w:footnoteRef/>
      </w:r>
      <w:r>
        <w:rPr>
          <w:vertAlign w:val="superscript"/>
        </w:rPr>
        <w:tab/>
      </w:r>
      <w:r>
        <w:rPr>
          <w:color w:val="000000"/>
        </w:rPr>
        <w:t>https://cordis.europa.eu/programme/id/H2020_FNR-11-2020/en</w:t>
      </w:r>
    </w:p>
  </w:footnote>
  <w:footnote w:id="14">
    <w:p w:rsidR="009A342E" w:rsidRDefault="009A342E" w:rsidP="009A342E">
      <w:pPr>
        <w:pStyle w:val="footnote1"/>
      </w:pPr>
      <w:r>
        <w:rPr>
          <w:vertAlign w:val="superscript"/>
        </w:rPr>
        <w:footnoteRef/>
      </w:r>
      <w:r>
        <w:rPr>
          <w:vertAlign w:val="superscript"/>
        </w:rPr>
        <w:tab/>
      </w:r>
      <w:r>
        <w:rPr>
          <w:color w:val="000000"/>
        </w:rPr>
        <w:t>A digital twin is a digital representation of a physical object, person, or process, contextualized in a digital version of its environment. Digital twins can help an organization simulate real situations and their outcomes, ultimately allowing it to make better decisions.</w:t>
      </w:r>
    </w:p>
  </w:footnote>
  <w:footnote w:id="15">
    <w:p w:rsidR="009A342E" w:rsidRDefault="009A342E" w:rsidP="009A342E">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9">
        <w:r>
          <w:rPr>
            <w:color w:val="0000FF"/>
            <w:szCs w:val="20"/>
            <w:u w:val="single"/>
          </w:rPr>
          <w:t>https://ri-portfolio.esfri.eu/</w:t>
        </w:r>
      </w:hyperlink>
    </w:p>
  </w:footnote>
  <w:footnote w:id="16">
    <w:p w:rsidR="009A342E" w:rsidRDefault="009A342E" w:rsidP="009A342E">
      <w:pPr>
        <w:pStyle w:val="footnote1"/>
      </w:pPr>
      <w:r>
        <w:rPr>
          <w:vertAlign w:val="superscript"/>
        </w:rPr>
        <w:footnoteRef/>
      </w:r>
      <w:r>
        <w:rPr>
          <w:vertAlign w:val="superscript"/>
        </w:rPr>
        <w:tab/>
      </w:r>
      <w:r>
        <w:rPr>
          <w:color w:val="000000"/>
        </w:rPr>
        <w:t xml:space="preserve">This </w:t>
      </w:r>
      <w:hyperlink r:id="rId1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
        <w:r>
          <w:rPr>
            <w:color w:val="0000FF"/>
            <w:szCs w:val="20"/>
            <w:u w:val="single"/>
          </w:rPr>
          <w:t>https://ec.europa.eu/info/funding-tenders/opportunities/docs/2021-2027/horizon/guidance/ls-decision_he_en.pdf</w:t>
        </w:r>
      </w:hyperlink>
    </w:p>
  </w:footnote>
  <w:footnote w:id="17">
    <w:p w:rsidR="009A342E" w:rsidRDefault="009A342E" w:rsidP="009A342E">
      <w:pPr>
        <w:pStyle w:val="footnote1"/>
      </w:pPr>
      <w:r>
        <w:rPr>
          <w:vertAlign w:val="superscript"/>
        </w:rPr>
        <w:footnoteRef/>
      </w:r>
      <w:r>
        <w:rPr>
          <w:vertAlign w:val="superscript"/>
        </w:rPr>
        <w:tab/>
      </w:r>
      <w:hyperlink r:id="rId12">
        <w:r>
          <w:rPr>
            <w:color w:val="0000FF"/>
            <w:szCs w:val="20"/>
            <w:u w:val="single"/>
          </w:rPr>
          <w:t>Nature-based solutions - European Commission (europa.eu)</w:t>
        </w:r>
      </w:hyperlink>
    </w:p>
    <w:p w:rsidR="009A342E" w:rsidRDefault="009A342E" w:rsidP="009A342E">
      <w:pPr>
        <w:pStyle w:val="footnote2"/>
      </w:pPr>
      <w:r>
        <w:rPr>
          <w:color w:val="000000"/>
        </w:rPr>
        <w:t xml:space="preserve"> </w:t>
      </w:r>
      <w:proofErr w:type="gramStart"/>
      <w:r>
        <w:rPr>
          <w:color w:val="000000"/>
        </w:rPr>
        <w:t>COM(</w:t>
      </w:r>
      <w:proofErr w:type="gramEnd"/>
      <w:r>
        <w:rPr>
          <w:color w:val="000000"/>
        </w:rPr>
        <w:t>2024) 137 Building the future with nature: Boosting Biotechnology and Biomanufacturing in the EU</w:t>
      </w:r>
    </w:p>
  </w:footnote>
  <w:footnote w:id="18">
    <w:p w:rsidR="009A342E" w:rsidRDefault="009A342E" w:rsidP="009A342E">
      <w:pPr>
        <w:pStyle w:val="footnote1"/>
      </w:pPr>
      <w:r>
        <w:rPr>
          <w:vertAlign w:val="superscript"/>
        </w:rPr>
        <w:footnoteRef/>
      </w:r>
      <w:r>
        <w:rPr>
          <w:vertAlign w:val="superscript"/>
        </w:rPr>
        <w:tab/>
      </w:r>
      <w:r>
        <w:rPr>
          <w:color w:val="000000"/>
        </w:rPr>
        <w:t>Commission Recommendation (EU) 2023/2113 of 3 October 2023 on critical technology areas for the EU’s economic security for further risk assessment with Member States.</w:t>
      </w:r>
    </w:p>
  </w:footnote>
  <w:footnote w:id="19">
    <w:p w:rsidR="009A342E" w:rsidRDefault="009A342E" w:rsidP="009A342E">
      <w:pPr>
        <w:pStyle w:val="footnote1"/>
      </w:pPr>
      <w:r>
        <w:rPr>
          <w:vertAlign w:val="superscript"/>
        </w:rPr>
        <w:footnoteRef/>
      </w:r>
      <w:r>
        <w:rPr>
          <w:vertAlign w:val="superscript"/>
        </w:rPr>
        <w:tab/>
      </w:r>
      <w:r>
        <w:rPr>
          <w:color w:val="000000"/>
        </w:rPr>
        <w:t>Proposal for a Regulation of the European Parliament and the Council establishing the Strategic Technologies for Europe Platform (‘STEP’) and amending Directive 2003/87/EC, Regulations (EU) 2021/1058, (EU) 2021/1056, (EU) 2021/1057, (EU) No 1303/2013, (EU) No 223/2014, (EU) 2021/1060, (EU) 2021/523, (EU) 2021/695, (EU) 2021/697 and (EU) 2021/24, COM/2023/335 final.</w:t>
      </w:r>
    </w:p>
  </w:footnote>
  <w:footnote w:id="20">
    <w:p w:rsidR="009A342E" w:rsidRDefault="009A342E" w:rsidP="009A342E">
      <w:pPr>
        <w:pStyle w:val="footnote1"/>
      </w:pPr>
      <w:r>
        <w:rPr>
          <w:vertAlign w:val="superscript"/>
        </w:rPr>
        <w:footnoteRef/>
      </w:r>
      <w:r>
        <w:rPr>
          <w:vertAlign w:val="superscript"/>
        </w:rPr>
        <w:tab/>
      </w:r>
      <w:r>
        <w:rPr>
          <w:color w:val="000000"/>
        </w:rPr>
        <w:t>https://cordis.europa.eu/programme/id/H2020_FNR-11-2020/en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4F4B"/>
    <w:multiLevelType w:val="hybridMultilevel"/>
    <w:tmpl w:val="4D308616"/>
    <w:name w:val="CPSNumberingScheme"/>
    <w:lvl w:ilvl="0" w:tplc="9A900F98">
      <w:start w:val="1"/>
      <w:numFmt w:val="decimal"/>
      <w:lvlText w:val="%1."/>
      <w:lvlJc w:val="right"/>
      <w:pPr>
        <w:ind w:left="500" w:hanging="180"/>
      </w:pPr>
    </w:lvl>
    <w:lvl w:ilvl="1" w:tplc="96DE37EE">
      <w:start w:val="1"/>
      <w:numFmt w:val="decimal"/>
      <w:lvlText w:val="%2."/>
      <w:lvlJc w:val="right"/>
      <w:pPr>
        <w:ind w:left="1000" w:hanging="180"/>
      </w:pPr>
    </w:lvl>
    <w:lvl w:ilvl="2" w:tplc="025CC26A">
      <w:start w:val="1"/>
      <w:numFmt w:val="decimal"/>
      <w:lvlText w:val="%3."/>
      <w:lvlJc w:val="right"/>
      <w:pPr>
        <w:ind w:left="1500" w:hanging="180"/>
      </w:pPr>
    </w:lvl>
    <w:lvl w:ilvl="3" w:tplc="F21E1480">
      <w:start w:val="1"/>
      <w:numFmt w:val="decimal"/>
      <w:lvlText w:val="%4."/>
      <w:lvlJc w:val="right"/>
      <w:pPr>
        <w:ind w:left="2000" w:hanging="180"/>
      </w:pPr>
    </w:lvl>
    <w:lvl w:ilvl="4" w:tplc="D65E7C74">
      <w:start w:val="1"/>
      <w:numFmt w:val="decimal"/>
      <w:lvlText w:val="%5."/>
      <w:lvlJc w:val="right"/>
      <w:pPr>
        <w:ind w:left="2500" w:hanging="180"/>
      </w:pPr>
    </w:lvl>
    <w:lvl w:ilvl="5" w:tplc="FD7897DE">
      <w:start w:val="1"/>
      <w:numFmt w:val="decimal"/>
      <w:lvlText w:val="%6."/>
      <w:lvlJc w:val="right"/>
      <w:pPr>
        <w:ind w:left="3000" w:hanging="180"/>
      </w:pPr>
    </w:lvl>
    <w:lvl w:ilvl="6" w:tplc="8BCC7734">
      <w:start w:val="1"/>
      <w:numFmt w:val="decimal"/>
      <w:lvlText w:val="%7."/>
      <w:lvlJc w:val="right"/>
      <w:pPr>
        <w:ind w:left="3500" w:hanging="180"/>
      </w:pPr>
    </w:lvl>
    <w:lvl w:ilvl="7" w:tplc="90302ECC">
      <w:start w:val="1"/>
      <w:numFmt w:val="decimal"/>
      <w:lvlText w:val="%8."/>
      <w:lvlJc w:val="right"/>
      <w:pPr>
        <w:ind w:left="4000" w:hanging="180"/>
      </w:pPr>
    </w:lvl>
    <w:lvl w:ilvl="8" w:tplc="AE6C14EA">
      <w:start w:val="1"/>
      <w:numFmt w:val="decimal"/>
      <w:lvlText w:val="%9."/>
      <w:lvlJc w:val="right"/>
      <w:pPr>
        <w:ind w:left="4500" w:hanging="180"/>
      </w:pPr>
    </w:lvl>
  </w:abstractNum>
  <w:abstractNum w:abstractNumId="1" w15:restartNumberingAfterBreak="0">
    <w:nsid w:val="26886B6D"/>
    <w:multiLevelType w:val="hybridMultilevel"/>
    <w:tmpl w:val="17D6C942"/>
    <w:lvl w:ilvl="0" w:tplc="6B38ADB0">
      <w:start w:val="1"/>
      <w:numFmt w:val="decimal"/>
      <w:lvlText w:val="%1."/>
      <w:lvlJc w:val="right"/>
      <w:pPr>
        <w:ind w:left="500" w:hanging="180"/>
      </w:pPr>
    </w:lvl>
    <w:lvl w:ilvl="1" w:tplc="BCB04C52">
      <w:start w:val="1"/>
      <w:numFmt w:val="decimal"/>
      <w:lvlText w:val="%2."/>
      <w:lvlJc w:val="right"/>
      <w:pPr>
        <w:ind w:left="1000" w:hanging="180"/>
      </w:pPr>
    </w:lvl>
    <w:lvl w:ilvl="2" w:tplc="3CD881A6">
      <w:start w:val="1"/>
      <w:numFmt w:val="decimal"/>
      <w:lvlText w:val="%3."/>
      <w:lvlJc w:val="right"/>
      <w:pPr>
        <w:ind w:left="1500" w:hanging="180"/>
      </w:pPr>
    </w:lvl>
    <w:lvl w:ilvl="3" w:tplc="52F4AB88">
      <w:start w:val="1"/>
      <w:numFmt w:val="decimal"/>
      <w:lvlText w:val="%4."/>
      <w:lvlJc w:val="right"/>
      <w:pPr>
        <w:ind w:left="2000" w:hanging="180"/>
      </w:pPr>
    </w:lvl>
    <w:lvl w:ilvl="4" w:tplc="26B20914">
      <w:start w:val="1"/>
      <w:numFmt w:val="decimal"/>
      <w:lvlText w:val="%5."/>
      <w:lvlJc w:val="right"/>
      <w:pPr>
        <w:ind w:left="2500" w:hanging="180"/>
      </w:pPr>
    </w:lvl>
    <w:lvl w:ilvl="5" w:tplc="9D880D80">
      <w:start w:val="1"/>
      <w:numFmt w:val="decimal"/>
      <w:lvlText w:val="%6."/>
      <w:lvlJc w:val="right"/>
      <w:pPr>
        <w:ind w:left="3000" w:hanging="180"/>
      </w:pPr>
    </w:lvl>
    <w:lvl w:ilvl="6" w:tplc="37006554">
      <w:start w:val="1"/>
      <w:numFmt w:val="decimal"/>
      <w:lvlText w:val="%7."/>
      <w:lvlJc w:val="right"/>
      <w:pPr>
        <w:ind w:left="3500" w:hanging="180"/>
      </w:pPr>
    </w:lvl>
    <w:lvl w:ilvl="7" w:tplc="BEFC7B70">
      <w:start w:val="1"/>
      <w:numFmt w:val="decimal"/>
      <w:lvlText w:val="%8."/>
      <w:lvlJc w:val="right"/>
      <w:pPr>
        <w:ind w:left="4000" w:hanging="180"/>
      </w:pPr>
    </w:lvl>
    <w:lvl w:ilvl="8" w:tplc="EB2EE04C">
      <w:start w:val="1"/>
      <w:numFmt w:val="decimal"/>
      <w:lvlText w:val="%9."/>
      <w:lvlJc w:val="right"/>
      <w:pPr>
        <w:ind w:left="4500" w:hanging="180"/>
      </w:pPr>
    </w:lvl>
  </w:abstractNum>
  <w:abstractNum w:abstractNumId="2" w15:restartNumberingAfterBreak="0">
    <w:nsid w:val="3F990083"/>
    <w:multiLevelType w:val="hybridMultilevel"/>
    <w:tmpl w:val="7C1A55EA"/>
    <w:lvl w:ilvl="0" w:tplc="56F0BD86">
      <w:start w:val="1"/>
      <w:numFmt w:val="decimal"/>
      <w:lvlText w:val="%1."/>
      <w:lvlJc w:val="right"/>
      <w:pPr>
        <w:ind w:left="500" w:hanging="180"/>
      </w:pPr>
    </w:lvl>
    <w:lvl w:ilvl="1" w:tplc="3898845A">
      <w:start w:val="1"/>
      <w:numFmt w:val="decimal"/>
      <w:lvlText w:val="%2."/>
      <w:lvlJc w:val="right"/>
      <w:pPr>
        <w:ind w:left="1000" w:hanging="180"/>
      </w:pPr>
    </w:lvl>
    <w:lvl w:ilvl="2" w:tplc="18F4B2C0">
      <w:start w:val="1"/>
      <w:numFmt w:val="decimal"/>
      <w:lvlText w:val="%3."/>
      <w:lvlJc w:val="right"/>
      <w:pPr>
        <w:ind w:left="1500" w:hanging="180"/>
      </w:pPr>
    </w:lvl>
    <w:lvl w:ilvl="3" w:tplc="1508597A">
      <w:start w:val="1"/>
      <w:numFmt w:val="decimal"/>
      <w:lvlText w:val="%4."/>
      <w:lvlJc w:val="right"/>
      <w:pPr>
        <w:ind w:left="2000" w:hanging="180"/>
      </w:pPr>
    </w:lvl>
    <w:lvl w:ilvl="4" w:tplc="2E640498">
      <w:start w:val="1"/>
      <w:numFmt w:val="decimal"/>
      <w:lvlText w:val="%5."/>
      <w:lvlJc w:val="right"/>
      <w:pPr>
        <w:ind w:left="2500" w:hanging="180"/>
      </w:pPr>
    </w:lvl>
    <w:lvl w:ilvl="5" w:tplc="83B67BA0">
      <w:start w:val="1"/>
      <w:numFmt w:val="decimal"/>
      <w:lvlText w:val="%6."/>
      <w:lvlJc w:val="right"/>
      <w:pPr>
        <w:ind w:left="3000" w:hanging="180"/>
      </w:pPr>
    </w:lvl>
    <w:lvl w:ilvl="6" w:tplc="1A64BB16">
      <w:start w:val="1"/>
      <w:numFmt w:val="decimal"/>
      <w:lvlText w:val="%7."/>
      <w:lvlJc w:val="right"/>
      <w:pPr>
        <w:ind w:left="3500" w:hanging="180"/>
      </w:pPr>
    </w:lvl>
    <w:lvl w:ilvl="7" w:tplc="BF000A2C">
      <w:start w:val="1"/>
      <w:numFmt w:val="decimal"/>
      <w:lvlText w:val="%8."/>
      <w:lvlJc w:val="right"/>
      <w:pPr>
        <w:ind w:left="4000" w:hanging="180"/>
      </w:pPr>
    </w:lvl>
    <w:lvl w:ilvl="8" w:tplc="75606010">
      <w:start w:val="1"/>
      <w:numFmt w:val="decimal"/>
      <w:lvlText w:val="%9."/>
      <w:lvlJc w:val="right"/>
      <w:pPr>
        <w:ind w:left="4500" w:hanging="180"/>
      </w:pPr>
    </w:lvl>
  </w:abstractNum>
  <w:abstractNum w:abstractNumId="3" w15:restartNumberingAfterBreak="0">
    <w:nsid w:val="48C9046E"/>
    <w:multiLevelType w:val="hybridMultilevel"/>
    <w:tmpl w:val="60CCFABE"/>
    <w:lvl w:ilvl="0" w:tplc="115A15CC">
      <w:start w:val="1"/>
      <w:numFmt w:val="decimal"/>
      <w:lvlText w:val="%1."/>
      <w:lvlJc w:val="right"/>
      <w:pPr>
        <w:ind w:left="500" w:hanging="180"/>
      </w:pPr>
    </w:lvl>
    <w:lvl w:ilvl="1" w:tplc="76866110">
      <w:start w:val="1"/>
      <w:numFmt w:val="decimal"/>
      <w:lvlText w:val="%2."/>
      <w:lvlJc w:val="right"/>
      <w:pPr>
        <w:ind w:left="1000" w:hanging="180"/>
      </w:pPr>
    </w:lvl>
    <w:lvl w:ilvl="2" w:tplc="4274B256">
      <w:start w:val="1"/>
      <w:numFmt w:val="decimal"/>
      <w:lvlText w:val="%3."/>
      <w:lvlJc w:val="right"/>
      <w:pPr>
        <w:ind w:left="1500" w:hanging="180"/>
      </w:pPr>
    </w:lvl>
    <w:lvl w:ilvl="3" w:tplc="26B2FCA4">
      <w:start w:val="1"/>
      <w:numFmt w:val="decimal"/>
      <w:lvlText w:val="%4."/>
      <w:lvlJc w:val="right"/>
      <w:pPr>
        <w:ind w:left="2000" w:hanging="180"/>
      </w:pPr>
    </w:lvl>
    <w:lvl w:ilvl="4" w:tplc="A61E37B0">
      <w:start w:val="1"/>
      <w:numFmt w:val="decimal"/>
      <w:lvlText w:val="%5."/>
      <w:lvlJc w:val="right"/>
      <w:pPr>
        <w:ind w:left="2500" w:hanging="180"/>
      </w:pPr>
    </w:lvl>
    <w:lvl w:ilvl="5" w:tplc="DA489A08">
      <w:start w:val="1"/>
      <w:numFmt w:val="decimal"/>
      <w:lvlText w:val="%6."/>
      <w:lvlJc w:val="right"/>
      <w:pPr>
        <w:ind w:left="3000" w:hanging="180"/>
      </w:pPr>
    </w:lvl>
    <w:lvl w:ilvl="6" w:tplc="B6DA6ACA">
      <w:start w:val="1"/>
      <w:numFmt w:val="decimal"/>
      <w:lvlText w:val="%7."/>
      <w:lvlJc w:val="right"/>
      <w:pPr>
        <w:ind w:left="3500" w:hanging="180"/>
      </w:pPr>
    </w:lvl>
    <w:lvl w:ilvl="7" w:tplc="553A184C">
      <w:start w:val="1"/>
      <w:numFmt w:val="decimal"/>
      <w:lvlText w:val="%8."/>
      <w:lvlJc w:val="right"/>
      <w:pPr>
        <w:ind w:left="4000" w:hanging="180"/>
      </w:pPr>
    </w:lvl>
    <w:lvl w:ilvl="8" w:tplc="841C9958">
      <w:start w:val="1"/>
      <w:numFmt w:val="decimal"/>
      <w:lvlText w:val="%9."/>
      <w:lvlJc w:val="right"/>
      <w:pPr>
        <w:ind w:left="4500" w:hanging="180"/>
      </w:pPr>
    </w:lvl>
  </w:abstractNum>
  <w:abstractNum w:abstractNumId="4" w15:restartNumberingAfterBreak="0">
    <w:nsid w:val="4FD55260"/>
    <w:multiLevelType w:val="hybridMultilevel"/>
    <w:tmpl w:val="DA2678AC"/>
    <w:lvl w:ilvl="0" w:tplc="FF42148E">
      <w:start w:val="1"/>
      <w:numFmt w:val="decimal"/>
      <w:pStyle w:val="BulletParagraph"/>
      <w:lvlText w:val="%1."/>
      <w:lvlJc w:val="right"/>
      <w:pPr>
        <w:ind w:left="500" w:hanging="180"/>
      </w:pPr>
    </w:lvl>
    <w:lvl w:ilvl="1" w:tplc="F3EC6BB0">
      <w:start w:val="1"/>
      <w:numFmt w:val="decimal"/>
      <w:lvlText w:val="%2."/>
      <w:lvlJc w:val="right"/>
      <w:pPr>
        <w:ind w:left="1000" w:hanging="180"/>
      </w:pPr>
    </w:lvl>
    <w:lvl w:ilvl="2" w:tplc="AB149514">
      <w:start w:val="1"/>
      <w:numFmt w:val="decimal"/>
      <w:lvlText w:val="%3."/>
      <w:lvlJc w:val="right"/>
      <w:pPr>
        <w:ind w:left="1500" w:hanging="180"/>
      </w:pPr>
    </w:lvl>
    <w:lvl w:ilvl="3" w:tplc="C568C232">
      <w:start w:val="1"/>
      <w:numFmt w:val="decimal"/>
      <w:lvlText w:val="%4."/>
      <w:lvlJc w:val="right"/>
      <w:pPr>
        <w:ind w:left="2000" w:hanging="180"/>
      </w:pPr>
    </w:lvl>
    <w:lvl w:ilvl="4" w:tplc="A2480DB6">
      <w:start w:val="1"/>
      <w:numFmt w:val="decimal"/>
      <w:lvlText w:val="%5."/>
      <w:lvlJc w:val="right"/>
      <w:pPr>
        <w:ind w:left="2500" w:hanging="180"/>
      </w:pPr>
    </w:lvl>
    <w:lvl w:ilvl="5" w:tplc="7C2C1298">
      <w:start w:val="1"/>
      <w:numFmt w:val="decimal"/>
      <w:lvlText w:val="%6."/>
      <w:lvlJc w:val="right"/>
      <w:pPr>
        <w:ind w:left="3000" w:hanging="180"/>
      </w:pPr>
    </w:lvl>
    <w:lvl w:ilvl="6" w:tplc="8F2882B8">
      <w:start w:val="1"/>
      <w:numFmt w:val="decimal"/>
      <w:lvlText w:val="%7."/>
      <w:lvlJc w:val="right"/>
      <w:pPr>
        <w:ind w:left="3500" w:hanging="180"/>
      </w:pPr>
    </w:lvl>
    <w:lvl w:ilvl="7" w:tplc="6D9E9FB2">
      <w:start w:val="1"/>
      <w:numFmt w:val="decimal"/>
      <w:lvlText w:val="%8."/>
      <w:lvlJc w:val="right"/>
      <w:pPr>
        <w:ind w:left="4000" w:hanging="180"/>
      </w:pPr>
    </w:lvl>
    <w:lvl w:ilvl="8" w:tplc="E5847788">
      <w:start w:val="1"/>
      <w:numFmt w:val="decimal"/>
      <w:lvlText w:val="%9."/>
      <w:lvlJc w:val="right"/>
      <w:pPr>
        <w:ind w:left="4500" w:hanging="180"/>
      </w:pPr>
    </w:lvl>
  </w:abstractNum>
  <w:abstractNum w:abstractNumId="5" w15:restartNumberingAfterBreak="0">
    <w:nsid w:val="5B3142D7"/>
    <w:multiLevelType w:val="hybridMultilevel"/>
    <w:tmpl w:val="ECCE1D80"/>
    <w:lvl w:ilvl="0" w:tplc="2F44B3D8">
      <w:start w:val="1"/>
      <w:numFmt w:val="decimal"/>
      <w:lvlText w:val="%1."/>
      <w:lvlJc w:val="right"/>
      <w:pPr>
        <w:ind w:left="500" w:hanging="180"/>
      </w:pPr>
    </w:lvl>
    <w:lvl w:ilvl="1" w:tplc="DA36C57C">
      <w:start w:val="1"/>
      <w:numFmt w:val="decimal"/>
      <w:lvlText w:val="%2."/>
      <w:lvlJc w:val="right"/>
      <w:pPr>
        <w:ind w:left="1000" w:hanging="180"/>
      </w:pPr>
    </w:lvl>
    <w:lvl w:ilvl="2" w:tplc="BD086BC8">
      <w:start w:val="1"/>
      <w:numFmt w:val="decimal"/>
      <w:lvlText w:val="%3."/>
      <w:lvlJc w:val="right"/>
      <w:pPr>
        <w:ind w:left="1500" w:hanging="180"/>
      </w:pPr>
    </w:lvl>
    <w:lvl w:ilvl="3" w:tplc="36108068">
      <w:start w:val="1"/>
      <w:numFmt w:val="decimal"/>
      <w:lvlText w:val="%4."/>
      <w:lvlJc w:val="right"/>
      <w:pPr>
        <w:ind w:left="2000" w:hanging="180"/>
      </w:pPr>
    </w:lvl>
    <w:lvl w:ilvl="4" w:tplc="B4C443EC">
      <w:start w:val="1"/>
      <w:numFmt w:val="decimal"/>
      <w:lvlText w:val="%5."/>
      <w:lvlJc w:val="right"/>
      <w:pPr>
        <w:ind w:left="2500" w:hanging="180"/>
      </w:pPr>
    </w:lvl>
    <w:lvl w:ilvl="5" w:tplc="337EF4F4">
      <w:start w:val="1"/>
      <w:numFmt w:val="decimal"/>
      <w:lvlText w:val="%6."/>
      <w:lvlJc w:val="right"/>
      <w:pPr>
        <w:ind w:left="3000" w:hanging="180"/>
      </w:pPr>
    </w:lvl>
    <w:lvl w:ilvl="6" w:tplc="C47EBB4C">
      <w:start w:val="1"/>
      <w:numFmt w:val="decimal"/>
      <w:lvlText w:val="%7."/>
      <w:lvlJc w:val="right"/>
      <w:pPr>
        <w:ind w:left="3500" w:hanging="180"/>
      </w:pPr>
    </w:lvl>
    <w:lvl w:ilvl="7" w:tplc="CBA2AC1E">
      <w:start w:val="1"/>
      <w:numFmt w:val="decimal"/>
      <w:lvlText w:val="%8."/>
      <w:lvlJc w:val="right"/>
      <w:pPr>
        <w:ind w:left="4000" w:hanging="180"/>
      </w:pPr>
    </w:lvl>
    <w:lvl w:ilvl="8" w:tplc="97B22C12">
      <w:start w:val="1"/>
      <w:numFmt w:val="decimal"/>
      <w:lvlText w:val="%9."/>
      <w:lvlJc w:val="right"/>
      <w:pPr>
        <w:ind w:left="4500" w:hanging="180"/>
      </w:pPr>
    </w:lvl>
  </w:abstractNum>
  <w:abstractNum w:abstractNumId="6" w15:restartNumberingAfterBreak="0">
    <w:nsid w:val="745D6460"/>
    <w:multiLevelType w:val="hybridMultilevel"/>
    <w:tmpl w:val="EBB05EE8"/>
    <w:lvl w:ilvl="0" w:tplc="566AA7F4">
      <w:start w:val="1"/>
      <w:numFmt w:val="decimal"/>
      <w:lvlText w:val="%1."/>
      <w:lvlJc w:val="right"/>
      <w:pPr>
        <w:ind w:left="500" w:hanging="180"/>
      </w:pPr>
    </w:lvl>
    <w:lvl w:ilvl="1" w:tplc="D56AE77E">
      <w:start w:val="1"/>
      <w:numFmt w:val="decimal"/>
      <w:lvlText w:val="%2."/>
      <w:lvlJc w:val="right"/>
      <w:pPr>
        <w:ind w:left="1000" w:hanging="180"/>
      </w:pPr>
    </w:lvl>
    <w:lvl w:ilvl="2" w:tplc="5A8AB446">
      <w:start w:val="1"/>
      <w:numFmt w:val="decimal"/>
      <w:lvlText w:val="%3."/>
      <w:lvlJc w:val="right"/>
      <w:pPr>
        <w:ind w:left="1500" w:hanging="180"/>
      </w:pPr>
    </w:lvl>
    <w:lvl w:ilvl="3" w:tplc="8DF8E5A4">
      <w:start w:val="1"/>
      <w:numFmt w:val="decimal"/>
      <w:lvlText w:val="%4."/>
      <w:lvlJc w:val="right"/>
      <w:pPr>
        <w:ind w:left="2000" w:hanging="180"/>
      </w:pPr>
    </w:lvl>
    <w:lvl w:ilvl="4" w:tplc="41F6CEC8">
      <w:start w:val="1"/>
      <w:numFmt w:val="decimal"/>
      <w:lvlText w:val="%5."/>
      <w:lvlJc w:val="right"/>
      <w:pPr>
        <w:ind w:left="2500" w:hanging="180"/>
      </w:pPr>
    </w:lvl>
    <w:lvl w:ilvl="5" w:tplc="4406E96C">
      <w:start w:val="1"/>
      <w:numFmt w:val="decimal"/>
      <w:lvlText w:val="%6."/>
      <w:lvlJc w:val="right"/>
      <w:pPr>
        <w:ind w:left="3000" w:hanging="180"/>
      </w:pPr>
    </w:lvl>
    <w:lvl w:ilvl="6" w:tplc="822C7492">
      <w:start w:val="1"/>
      <w:numFmt w:val="decimal"/>
      <w:lvlText w:val="%7."/>
      <w:lvlJc w:val="right"/>
      <w:pPr>
        <w:ind w:left="3500" w:hanging="180"/>
      </w:pPr>
    </w:lvl>
    <w:lvl w:ilvl="7" w:tplc="61E63CBC">
      <w:start w:val="1"/>
      <w:numFmt w:val="decimal"/>
      <w:lvlText w:val="%8."/>
      <w:lvlJc w:val="right"/>
      <w:pPr>
        <w:ind w:left="4000" w:hanging="180"/>
      </w:pPr>
    </w:lvl>
    <w:lvl w:ilvl="8" w:tplc="8CA6608E">
      <w:start w:val="1"/>
      <w:numFmt w:val="decimal"/>
      <w:lvlText w:val="%9."/>
      <w:lvlJc w:val="right"/>
      <w:pPr>
        <w:ind w:left="4500" w:hanging="180"/>
      </w:pPr>
    </w:lvl>
  </w:abstractNum>
  <w:abstractNum w:abstractNumId="7" w15:restartNumberingAfterBreak="0">
    <w:nsid w:val="7FE6645A"/>
    <w:multiLevelType w:val="hybridMultilevel"/>
    <w:tmpl w:val="3B4A12D6"/>
    <w:lvl w:ilvl="0" w:tplc="2200CD10">
      <w:start w:val="1"/>
      <w:numFmt w:val="decimal"/>
      <w:lvlText w:val="%1."/>
      <w:lvlJc w:val="right"/>
      <w:pPr>
        <w:ind w:left="500" w:hanging="180"/>
      </w:pPr>
    </w:lvl>
    <w:lvl w:ilvl="1" w:tplc="8A4021BE">
      <w:start w:val="1"/>
      <w:numFmt w:val="decimal"/>
      <w:lvlText w:val="%2."/>
      <w:lvlJc w:val="right"/>
      <w:pPr>
        <w:ind w:left="1000" w:hanging="180"/>
      </w:pPr>
    </w:lvl>
    <w:lvl w:ilvl="2" w:tplc="D2E8B348">
      <w:start w:val="1"/>
      <w:numFmt w:val="decimal"/>
      <w:lvlText w:val="%3."/>
      <w:lvlJc w:val="right"/>
      <w:pPr>
        <w:ind w:left="1500" w:hanging="180"/>
      </w:pPr>
    </w:lvl>
    <w:lvl w:ilvl="3" w:tplc="42E49F6C">
      <w:start w:val="1"/>
      <w:numFmt w:val="decimal"/>
      <w:lvlText w:val="%4."/>
      <w:lvlJc w:val="right"/>
      <w:pPr>
        <w:ind w:left="2000" w:hanging="180"/>
      </w:pPr>
    </w:lvl>
    <w:lvl w:ilvl="4" w:tplc="65B0AB48">
      <w:start w:val="1"/>
      <w:numFmt w:val="decimal"/>
      <w:lvlText w:val="%5."/>
      <w:lvlJc w:val="right"/>
      <w:pPr>
        <w:ind w:left="2500" w:hanging="180"/>
      </w:pPr>
    </w:lvl>
    <w:lvl w:ilvl="5" w:tplc="74EABCCE">
      <w:start w:val="1"/>
      <w:numFmt w:val="decimal"/>
      <w:lvlText w:val="%6."/>
      <w:lvlJc w:val="right"/>
      <w:pPr>
        <w:ind w:left="3000" w:hanging="180"/>
      </w:pPr>
    </w:lvl>
    <w:lvl w:ilvl="6" w:tplc="E44CD16C">
      <w:start w:val="1"/>
      <w:numFmt w:val="decimal"/>
      <w:lvlText w:val="%7."/>
      <w:lvlJc w:val="right"/>
      <w:pPr>
        <w:ind w:left="3500" w:hanging="180"/>
      </w:pPr>
    </w:lvl>
    <w:lvl w:ilvl="7" w:tplc="9DDC901A">
      <w:start w:val="1"/>
      <w:numFmt w:val="decimal"/>
      <w:lvlText w:val="%8."/>
      <w:lvlJc w:val="right"/>
      <w:pPr>
        <w:ind w:left="4000" w:hanging="180"/>
      </w:pPr>
    </w:lvl>
    <w:lvl w:ilvl="8" w:tplc="D7E27C14">
      <w:start w:val="1"/>
      <w:numFmt w:val="decimal"/>
      <w:lvlText w:val="%9."/>
      <w:lvlJc w:val="right"/>
      <w:pPr>
        <w:ind w:left="4500" w:hanging="180"/>
      </w:pPr>
    </w:lvl>
  </w:abstractNum>
  <w:num w:numId="1">
    <w:abstractNumId w:val="0"/>
    <w:lvlOverride w:ilvl="0">
      <w:startOverride w:val="1"/>
      <w:lvl w:ilvl="0" w:tplc="9A900F98">
        <w:start w:val="1"/>
        <w:numFmt w:val="bullet"/>
        <w:lvlText w:val=""/>
        <w:lvlJc w:val="right"/>
        <w:pPr>
          <w:ind w:left="500" w:hanging="180"/>
        </w:pPr>
        <w:rPr>
          <w:rFonts w:ascii="Symbol" w:hAnsi="Symbol" w:hint="default"/>
        </w:rPr>
      </w:lvl>
    </w:lvlOverride>
    <w:lvlOverride w:ilvl="1">
      <w:startOverride w:val="1"/>
      <w:lvl w:ilvl="1" w:tplc="96DE37EE">
        <w:start w:val="1"/>
        <w:numFmt w:val="decimal"/>
        <w:lvlText w:val="%2."/>
        <w:lvlJc w:val="right"/>
        <w:pPr>
          <w:ind w:left="1000" w:hanging="180"/>
        </w:pPr>
      </w:lvl>
    </w:lvlOverride>
    <w:lvlOverride w:ilvl="2">
      <w:startOverride w:val="1"/>
      <w:lvl w:ilvl="2" w:tplc="025CC26A">
        <w:start w:val="1"/>
        <w:numFmt w:val="decimal"/>
        <w:lvlText w:val="%3."/>
        <w:lvlJc w:val="right"/>
        <w:pPr>
          <w:ind w:left="1500" w:hanging="180"/>
        </w:pPr>
      </w:lvl>
    </w:lvlOverride>
    <w:lvlOverride w:ilvl="3">
      <w:startOverride w:val="1"/>
      <w:lvl w:ilvl="3" w:tplc="F21E1480">
        <w:start w:val="1"/>
        <w:numFmt w:val="decimal"/>
        <w:lvlText w:val="%4."/>
        <w:lvlJc w:val="right"/>
        <w:pPr>
          <w:ind w:left="2000" w:hanging="180"/>
        </w:pPr>
      </w:lvl>
    </w:lvlOverride>
    <w:lvlOverride w:ilvl="4">
      <w:startOverride w:val="1"/>
      <w:lvl w:ilvl="4" w:tplc="D65E7C74">
        <w:start w:val="1"/>
        <w:numFmt w:val="decimal"/>
        <w:lvlText w:val="%5."/>
        <w:lvlJc w:val="right"/>
        <w:pPr>
          <w:ind w:left="2500" w:hanging="180"/>
        </w:pPr>
      </w:lvl>
    </w:lvlOverride>
    <w:lvlOverride w:ilvl="5">
      <w:startOverride w:val="1"/>
      <w:lvl w:ilvl="5" w:tplc="FD7897DE">
        <w:start w:val="1"/>
        <w:numFmt w:val="decimal"/>
        <w:lvlText w:val="%6."/>
        <w:lvlJc w:val="right"/>
        <w:pPr>
          <w:ind w:left="3000" w:hanging="180"/>
        </w:pPr>
      </w:lvl>
    </w:lvlOverride>
    <w:lvlOverride w:ilvl="6">
      <w:startOverride w:val="1"/>
      <w:lvl w:ilvl="6" w:tplc="8BCC7734">
        <w:start w:val="1"/>
        <w:numFmt w:val="decimal"/>
        <w:lvlText w:val="%7."/>
        <w:lvlJc w:val="right"/>
        <w:pPr>
          <w:ind w:left="3500" w:hanging="180"/>
        </w:pPr>
      </w:lvl>
    </w:lvlOverride>
    <w:lvlOverride w:ilvl="7">
      <w:startOverride w:val="1"/>
      <w:lvl w:ilvl="7" w:tplc="90302ECC">
        <w:start w:val="1"/>
        <w:numFmt w:val="decimal"/>
        <w:lvlText w:val="%8."/>
        <w:lvlJc w:val="right"/>
        <w:pPr>
          <w:ind w:left="4000" w:hanging="180"/>
        </w:pPr>
      </w:lvl>
    </w:lvlOverride>
    <w:lvlOverride w:ilvl="8">
      <w:startOverride w:val="1"/>
      <w:lvl w:ilvl="8" w:tplc="AE6C14EA">
        <w:start w:val="1"/>
        <w:numFmt w:val="decimal"/>
        <w:lvlText w:val="%9."/>
        <w:lvlJc w:val="right"/>
        <w:pPr>
          <w:ind w:left="4500" w:hanging="180"/>
        </w:pPr>
      </w:lvl>
    </w:lvlOverride>
  </w:num>
  <w:num w:numId="2">
    <w:abstractNumId w:val="6"/>
    <w:lvlOverride w:ilvl="0">
      <w:startOverride w:val="1"/>
      <w:lvl w:ilvl="0" w:tplc="566AA7F4">
        <w:start w:val="1"/>
        <w:numFmt w:val="bullet"/>
        <w:lvlText w:val=""/>
        <w:lvlJc w:val="right"/>
        <w:pPr>
          <w:ind w:left="500" w:hanging="180"/>
        </w:pPr>
        <w:rPr>
          <w:rFonts w:ascii="Symbol" w:hAnsi="Symbol" w:hint="default"/>
        </w:rPr>
      </w:lvl>
    </w:lvlOverride>
    <w:lvlOverride w:ilvl="1">
      <w:startOverride w:val="1"/>
      <w:lvl w:ilvl="1" w:tplc="D56AE77E">
        <w:start w:val="1"/>
        <w:numFmt w:val="decimal"/>
        <w:lvlText w:val="%2."/>
        <w:lvlJc w:val="right"/>
        <w:pPr>
          <w:ind w:left="1000" w:hanging="180"/>
        </w:pPr>
      </w:lvl>
    </w:lvlOverride>
    <w:lvlOverride w:ilvl="2">
      <w:startOverride w:val="1"/>
      <w:lvl w:ilvl="2" w:tplc="5A8AB446">
        <w:start w:val="1"/>
        <w:numFmt w:val="decimal"/>
        <w:lvlText w:val="%3."/>
        <w:lvlJc w:val="right"/>
        <w:pPr>
          <w:ind w:left="1500" w:hanging="180"/>
        </w:pPr>
      </w:lvl>
    </w:lvlOverride>
    <w:lvlOverride w:ilvl="3">
      <w:startOverride w:val="1"/>
      <w:lvl w:ilvl="3" w:tplc="8DF8E5A4">
        <w:start w:val="1"/>
        <w:numFmt w:val="decimal"/>
        <w:lvlText w:val="%4."/>
        <w:lvlJc w:val="right"/>
        <w:pPr>
          <w:ind w:left="2000" w:hanging="180"/>
        </w:pPr>
      </w:lvl>
    </w:lvlOverride>
    <w:lvlOverride w:ilvl="4">
      <w:startOverride w:val="1"/>
      <w:lvl w:ilvl="4" w:tplc="41F6CEC8">
        <w:start w:val="1"/>
        <w:numFmt w:val="decimal"/>
        <w:lvlText w:val="%5."/>
        <w:lvlJc w:val="right"/>
        <w:pPr>
          <w:ind w:left="2500" w:hanging="180"/>
        </w:pPr>
      </w:lvl>
    </w:lvlOverride>
    <w:lvlOverride w:ilvl="5">
      <w:startOverride w:val="1"/>
      <w:lvl w:ilvl="5" w:tplc="4406E96C">
        <w:start w:val="1"/>
        <w:numFmt w:val="decimal"/>
        <w:lvlText w:val="%6."/>
        <w:lvlJc w:val="right"/>
        <w:pPr>
          <w:ind w:left="3000" w:hanging="180"/>
        </w:pPr>
      </w:lvl>
    </w:lvlOverride>
    <w:lvlOverride w:ilvl="6">
      <w:startOverride w:val="1"/>
      <w:lvl w:ilvl="6" w:tplc="822C7492">
        <w:start w:val="1"/>
        <w:numFmt w:val="decimal"/>
        <w:lvlText w:val="%7."/>
        <w:lvlJc w:val="right"/>
        <w:pPr>
          <w:ind w:left="3500" w:hanging="180"/>
        </w:pPr>
      </w:lvl>
    </w:lvlOverride>
    <w:lvlOverride w:ilvl="7">
      <w:startOverride w:val="1"/>
      <w:lvl w:ilvl="7" w:tplc="61E63CBC">
        <w:start w:val="1"/>
        <w:numFmt w:val="decimal"/>
        <w:lvlText w:val="%8."/>
        <w:lvlJc w:val="right"/>
        <w:pPr>
          <w:ind w:left="4000" w:hanging="180"/>
        </w:pPr>
      </w:lvl>
    </w:lvlOverride>
    <w:lvlOverride w:ilvl="8">
      <w:startOverride w:val="1"/>
      <w:lvl w:ilvl="8" w:tplc="8CA6608E">
        <w:start w:val="1"/>
        <w:numFmt w:val="decimal"/>
        <w:lvlText w:val="%9."/>
        <w:lvlJc w:val="right"/>
        <w:pPr>
          <w:ind w:left="4500" w:hanging="180"/>
        </w:pPr>
      </w:lvl>
    </w:lvlOverride>
  </w:num>
  <w:num w:numId="3">
    <w:abstractNumId w:val="5"/>
    <w:lvlOverride w:ilvl="0">
      <w:startOverride w:val="1"/>
      <w:lvl w:ilvl="0" w:tplc="2F44B3D8">
        <w:start w:val="1"/>
        <w:numFmt w:val="bullet"/>
        <w:lvlText w:val=""/>
        <w:lvlJc w:val="right"/>
        <w:pPr>
          <w:ind w:left="500" w:hanging="180"/>
        </w:pPr>
        <w:rPr>
          <w:rFonts w:ascii="Symbol" w:hAnsi="Symbol" w:hint="default"/>
        </w:rPr>
      </w:lvl>
    </w:lvlOverride>
    <w:lvlOverride w:ilvl="1">
      <w:startOverride w:val="1"/>
      <w:lvl w:ilvl="1" w:tplc="DA36C57C">
        <w:start w:val="1"/>
        <w:numFmt w:val="decimal"/>
        <w:lvlText w:val="%2."/>
        <w:lvlJc w:val="right"/>
        <w:pPr>
          <w:ind w:left="1000" w:hanging="180"/>
        </w:pPr>
      </w:lvl>
    </w:lvlOverride>
    <w:lvlOverride w:ilvl="2">
      <w:startOverride w:val="1"/>
      <w:lvl w:ilvl="2" w:tplc="BD086BC8">
        <w:start w:val="1"/>
        <w:numFmt w:val="decimal"/>
        <w:lvlText w:val="%3."/>
        <w:lvlJc w:val="right"/>
        <w:pPr>
          <w:ind w:left="1500" w:hanging="180"/>
        </w:pPr>
      </w:lvl>
    </w:lvlOverride>
    <w:lvlOverride w:ilvl="3">
      <w:startOverride w:val="1"/>
      <w:lvl w:ilvl="3" w:tplc="36108068">
        <w:start w:val="1"/>
        <w:numFmt w:val="decimal"/>
        <w:lvlText w:val="%4."/>
        <w:lvlJc w:val="right"/>
        <w:pPr>
          <w:ind w:left="2000" w:hanging="180"/>
        </w:pPr>
      </w:lvl>
    </w:lvlOverride>
    <w:lvlOverride w:ilvl="4">
      <w:startOverride w:val="1"/>
      <w:lvl w:ilvl="4" w:tplc="B4C443EC">
        <w:start w:val="1"/>
        <w:numFmt w:val="decimal"/>
        <w:lvlText w:val="%5."/>
        <w:lvlJc w:val="right"/>
        <w:pPr>
          <w:ind w:left="2500" w:hanging="180"/>
        </w:pPr>
      </w:lvl>
    </w:lvlOverride>
    <w:lvlOverride w:ilvl="5">
      <w:startOverride w:val="1"/>
      <w:lvl w:ilvl="5" w:tplc="337EF4F4">
        <w:start w:val="1"/>
        <w:numFmt w:val="decimal"/>
        <w:lvlText w:val="%6."/>
        <w:lvlJc w:val="right"/>
        <w:pPr>
          <w:ind w:left="3000" w:hanging="180"/>
        </w:pPr>
      </w:lvl>
    </w:lvlOverride>
    <w:lvlOverride w:ilvl="6">
      <w:startOverride w:val="1"/>
      <w:lvl w:ilvl="6" w:tplc="C47EBB4C">
        <w:start w:val="1"/>
        <w:numFmt w:val="decimal"/>
        <w:lvlText w:val="%7."/>
        <w:lvlJc w:val="right"/>
        <w:pPr>
          <w:ind w:left="3500" w:hanging="180"/>
        </w:pPr>
      </w:lvl>
    </w:lvlOverride>
    <w:lvlOverride w:ilvl="7">
      <w:startOverride w:val="1"/>
      <w:lvl w:ilvl="7" w:tplc="CBA2AC1E">
        <w:start w:val="1"/>
        <w:numFmt w:val="decimal"/>
        <w:lvlText w:val="%8."/>
        <w:lvlJc w:val="right"/>
        <w:pPr>
          <w:ind w:left="4000" w:hanging="180"/>
        </w:pPr>
      </w:lvl>
    </w:lvlOverride>
    <w:lvlOverride w:ilvl="8">
      <w:startOverride w:val="1"/>
      <w:lvl w:ilvl="8" w:tplc="97B22C12">
        <w:start w:val="1"/>
        <w:numFmt w:val="decimal"/>
        <w:lvlText w:val="%9."/>
        <w:lvlJc w:val="right"/>
        <w:pPr>
          <w:ind w:left="4500" w:hanging="180"/>
        </w:pPr>
      </w:lvl>
    </w:lvlOverride>
  </w:num>
  <w:num w:numId="4">
    <w:abstractNumId w:val="3"/>
    <w:lvlOverride w:ilvl="0">
      <w:startOverride w:val="1"/>
      <w:lvl w:ilvl="0" w:tplc="115A15CC">
        <w:start w:val="1"/>
        <w:numFmt w:val="bullet"/>
        <w:lvlText w:val=""/>
        <w:lvlJc w:val="right"/>
        <w:pPr>
          <w:ind w:left="500" w:hanging="180"/>
        </w:pPr>
        <w:rPr>
          <w:rFonts w:ascii="Symbol" w:hAnsi="Symbol" w:hint="default"/>
        </w:rPr>
      </w:lvl>
    </w:lvlOverride>
    <w:lvlOverride w:ilvl="1">
      <w:startOverride w:val="1"/>
      <w:lvl w:ilvl="1" w:tplc="76866110">
        <w:start w:val="1"/>
        <w:numFmt w:val="decimal"/>
        <w:lvlText w:val="%2."/>
        <w:lvlJc w:val="right"/>
        <w:pPr>
          <w:ind w:left="1000" w:hanging="180"/>
        </w:pPr>
      </w:lvl>
    </w:lvlOverride>
    <w:lvlOverride w:ilvl="2">
      <w:startOverride w:val="1"/>
      <w:lvl w:ilvl="2" w:tplc="4274B256">
        <w:start w:val="1"/>
        <w:numFmt w:val="decimal"/>
        <w:lvlText w:val="%3."/>
        <w:lvlJc w:val="right"/>
        <w:pPr>
          <w:ind w:left="1500" w:hanging="180"/>
        </w:pPr>
      </w:lvl>
    </w:lvlOverride>
    <w:lvlOverride w:ilvl="3">
      <w:startOverride w:val="1"/>
      <w:lvl w:ilvl="3" w:tplc="26B2FCA4">
        <w:start w:val="1"/>
        <w:numFmt w:val="decimal"/>
        <w:lvlText w:val="%4."/>
        <w:lvlJc w:val="right"/>
        <w:pPr>
          <w:ind w:left="2000" w:hanging="180"/>
        </w:pPr>
      </w:lvl>
    </w:lvlOverride>
    <w:lvlOverride w:ilvl="4">
      <w:startOverride w:val="1"/>
      <w:lvl w:ilvl="4" w:tplc="A61E37B0">
        <w:start w:val="1"/>
        <w:numFmt w:val="decimal"/>
        <w:lvlText w:val="%5."/>
        <w:lvlJc w:val="right"/>
        <w:pPr>
          <w:ind w:left="2500" w:hanging="180"/>
        </w:pPr>
      </w:lvl>
    </w:lvlOverride>
    <w:lvlOverride w:ilvl="5">
      <w:startOverride w:val="1"/>
      <w:lvl w:ilvl="5" w:tplc="DA489A08">
        <w:start w:val="1"/>
        <w:numFmt w:val="decimal"/>
        <w:lvlText w:val="%6."/>
        <w:lvlJc w:val="right"/>
        <w:pPr>
          <w:ind w:left="3000" w:hanging="180"/>
        </w:pPr>
      </w:lvl>
    </w:lvlOverride>
    <w:lvlOverride w:ilvl="6">
      <w:startOverride w:val="1"/>
      <w:lvl w:ilvl="6" w:tplc="B6DA6ACA">
        <w:start w:val="1"/>
        <w:numFmt w:val="decimal"/>
        <w:lvlText w:val="%7."/>
        <w:lvlJc w:val="right"/>
        <w:pPr>
          <w:ind w:left="3500" w:hanging="180"/>
        </w:pPr>
      </w:lvl>
    </w:lvlOverride>
    <w:lvlOverride w:ilvl="7">
      <w:startOverride w:val="1"/>
      <w:lvl w:ilvl="7" w:tplc="553A184C">
        <w:start w:val="1"/>
        <w:numFmt w:val="decimal"/>
        <w:lvlText w:val="%8."/>
        <w:lvlJc w:val="right"/>
        <w:pPr>
          <w:ind w:left="4000" w:hanging="180"/>
        </w:pPr>
      </w:lvl>
    </w:lvlOverride>
    <w:lvlOverride w:ilvl="8">
      <w:startOverride w:val="1"/>
      <w:lvl w:ilvl="8" w:tplc="841C9958">
        <w:start w:val="1"/>
        <w:numFmt w:val="decimal"/>
        <w:lvlText w:val="%9."/>
        <w:lvlJc w:val="right"/>
        <w:pPr>
          <w:ind w:left="4500" w:hanging="180"/>
        </w:pPr>
      </w:lvl>
    </w:lvlOverride>
  </w:num>
  <w:num w:numId="5">
    <w:abstractNumId w:val="7"/>
    <w:lvlOverride w:ilvl="0">
      <w:startOverride w:val="1"/>
      <w:lvl w:ilvl="0" w:tplc="2200CD10">
        <w:start w:val="1"/>
        <w:numFmt w:val="bullet"/>
        <w:lvlText w:val=""/>
        <w:lvlJc w:val="right"/>
        <w:pPr>
          <w:ind w:left="500" w:hanging="180"/>
        </w:pPr>
        <w:rPr>
          <w:rFonts w:ascii="Symbol" w:hAnsi="Symbol" w:hint="default"/>
        </w:rPr>
      </w:lvl>
    </w:lvlOverride>
    <w:lvlOverride w:ilvl="1">
      <w:startOverride w:val="1"/>
      <w:lvl w:ilvl="1" w:tplc="8A4021BE">
        <w:start w:val="1"/>
        <w:numFmt w:val="decimal"/>
        <w:lvlText w:val="%2."/>
        <w:lvlJc w:val="right"/>
        <w:pPr>
          <w:ind w:left="1000" w:hanging="180"/>
        </w:pPr>
      </w:lvl>
    </w:lvlOverride>
    <w:lvlOverride w:ilvl="2">
      <w:startOverride w:val="1"/>
      <w:lvl w:ilvl="2" w:tplc="D2E8B348">
        <w:start w:val="1"/>
        <w:numFmt w:val="decimal"/>
        <w:lvlText w:val="%3."/>
        <w:lvlJc w:val="right"/>
        <w:pPr>
          <w:ind w:left="1500" w:hanging="180"/>
        </w:pPr>
      </w:lvl>
    </w:lvlOverride>
    <w:lvlOverride w:ilvl="3">
      <w:startOverride w:val="1"/>
      <w:lvl w:ilvl="3" w:tplc="42E49F6C">
        <w:start w:val="1"/>
        <w:numFmt w:val="decimal"/>
        <w:lvlText w:val="%4."/>
        <w:lvlJc w:val="right"/>
        <w:pPr>
          <w:ind w:left="2000" w:hanging="180"/>
        </w:pPr>
      </w:lvl>
    </w:lvlOverride>
    <w:lvlOverride w:ilvl="4">
      <w:startOverride w:val="1"/>
      <w:lvl w:ilvl="4" w:tplc="65B0AB48">
        <w:start w:val="1"/>
        <w:numFmt w:val="decimal"/>
        <w:lvlText w:val="%5."/>
        <w:lvlJc w:val="right"/>
        <w:pPr>
          <w:ind w:left="2500" w:hanging="180"/>
        </w:pPr>
      </w:lvl>
    </w:lvlOverride>
    <w:lvlOverride w:ilvl="5">
      <w:startOverride w:val="1"/>
      <w:lvl w:ilvl="5" w:tplc="74EABCCE">
        <w:start w:val="1"/>
        <w:numFmt w:val="decimal"/>
        <w:lvlText w:val="%6."/>
        <w:lvlJc w:val="right"/>
        <w:pPr>
          <w:ind w:left="3000" w:hanging="180"/>
        </w:pPr>
      </w:lvl>
    </w:lvlOverride>
    <w:lvlOverride w:ilvl="6">
      <w:startOverride w:val="1"/>
      <w:lvl w:ilvl="6" w:tplc="E44CD16C">
        <w:start w:val="1"/>
        <w:numFmt w:val="decimal"/>
        <w:lvlText w:val="%7."/>
        <w:lvlJc w:val="right"/>
        <w:pPr>
          <w:ind w:left="3500" w:hanging="180"/>
        </w:pPr>
      </w:lvl>
    </w:lvlOverride>
    <w:lvlOverride w:ilvl="7">
      <w:startOverride w:val="1"/>
      <w:lvl w:ilvl="7" w:tplc="9DDC901A">
        <w:start w:val="1"/>
        <w:numFmt w:val="decimal"/>
        <w:lvlText w:val="%8."/>
        <w:lvlJc w:val="right"/>
        <w:pPr>
          <w:ind w:left="4000" w:hanging="180"/>
        </w:pPr>
      </w:lvl>
    </w:lvlOverride>
    <w:lvlOverride w:ilvl="8">
      <w:startOverride w:val="1"/>
      <w:lvl w:ilvl="8" w:tplc="D7E27C14">
        <w:start w:val="1"/>
        <w:numFmt w:val="decimal"/>
        <w:lvlText w:val="%9."/>
        <w:lvlJc w:val="right"/>
        <w:pPr>
          <w:ind w:left="4500" w:hanging="180"/>
        </w:pPr>
      </w:lvl>
    </w:lvlOverride>
  </w:num>
  <w:num w:numId="6">
    <w:abstractNumId w:val="1"/>
    <w:lvlOverride w:ilvl="0">
      <w:startOverride w:val="1"/>
      <w:lvl w:ilvl="0" w:tplc="6B38ADB0">
        <w:start w:val="1"/>
        <w:numFmt w:val="bullet"/>
        <w:lvlText w:val=""/>
        <w:lvlJc w:val="right"/>
        <w:pPr>
          <w:ind w:left="500" w:hanging="180"/>
        </w:pPr>
        <w:rPr>
          <w:rFonts w:ascii="Symbol" w:hAnsi="Symbol" w:hint="default"/>
        </w:rPr>
      </w:lvl>
    </w:lvlOverride>
    <w:lvlOverride w:ilvl="1">
      <w:startOverride w:val="1"/>
      <w:lvl w:ilvl="1" w:tplc="BCB04C52">
        <w:start w:val="1"/>
        <w:numFmt w:val="decimal"/>
        <w:lvlText w:val="%2."/>
        <w:lvlJc w:val="right"/>
        <w:pPr>
          <w:ind w:left="1000" w:hanging="180"/>
        </w:pPr>
      </w:lvl>
    </w:lvlOverride>
    <w:lvlOverride w:ilvl="2">
      <w:startOverride w:val="1"/>
      <w:lvl w:ilvl="2" w:tplc="3CD881A6">
        <w:start w:val="1"/>
        <w:numFmt w:val="decimal"/>
        <w:lvlText w:val="%3."/>
        <w:lvlJc w:val="right"/>
        <w:pPr>
          <w:ind w:left="1500" w:hanging="180"/>
        </w:pPr>
      </w:lvl>
    </w:lvlOverride>
    <w:lvlOverride w:ilvl="3">
      <w:startOverride w:val="1"/>
      <w:lvl w:ilvl="3" w:tplc="52F4AB88">
        <w:start w:val="1"/>
        <w:numFmt w:val="decimal"/>
        <w:lvlText w:val="%4."/>
        <w:lvlJc w:val="right"/>
        <w:pPr>
          <w:ind w:left="2000" w:hanging="180"/>
        </w:pPr>
      </w:lvl>
    </w:lvlOverride>
    <w:lvlOverride w:ilvl="4">
      <w:startOverride w:val="1"/>
      <w:lvl w:ilvl="4" w:tplc="26B20914">
        <w:start w:val="1"/>
        <w:numFmt w:val="decimal"/>
        <w:lvlText w:val="%5."/>
        <w:lvlJc w:val="right"/>
        <w:pPr>
          <w:ind w:left="2500" w:hanging="180"/>
        </w:pPr>
      </w:lvl>
    </w:lvlOverride>
    <w:lvlOverride w:ilvl="5">
      <w:startOverride w:val="1"/>
      <w:lvl w:ilvl="5" w:tplc="9D880D80">
        <w:start w:val="1"/>
        <w:numFmt w:val="decimal"/>
        <w:lvlText w:val="%6."/>
        <w:lvlJc w:val="right"/>
        <w:pPr>
          <w:ind w:left="3000" w:hanging="180"/>
        </w:pPr>
      </w:lvl>
    </w:lvlOverride>
    <w:lvlOverride w:ilvl="6">
      <w:startOverride w:val="1"/>
      <w:lvl w:ilvl="6" w:tplc="37006554">
        <w:start w:val="1"/>
        <w:numFmt w:val="decimal"/>
        <w:lvlText w:val="%7."/>
        <w:lvlJc w:val="right"/>
        <w:pPr>
          <w:ind w:left="3500" w:hanging="180"/>
        </w:pPr>
      </w:lvl>
    </w:lvlOverride>
    <w:lvlOverride w:ilvl="7">
      <w:startOverride w:val="1"/>
      <w:lvl w:ilvl="7" w:tplc="BEFC7B70">
        <w:start w:val="1"/>
        <w:numFmt w:val="decimal"/>
        <w:lvlText w:val="%8."/>
        <w:lvlJc w:val="right"/>
        <w:pPr>
          <w:ind w:left="4000" w:hanging="180"/>
        </w:pPr>
      </w:lvl>
    </w:lvlOverride>
    <w:lvlOverride w:ilvl="8">
      <w:startOverride w:val="1"/>
      <w:lvl w:ilvl="8" w:tplc="EB2EE04C">
        <w:start w:val="1"/>
        <w:numFmt w:val="decimal"/>
        <w:lvlText w:val="%9."/>
        <w:lvlJc w:val="right"/>
        <w:pPr>
          <w:ind w:left="4500" w:hanging="180"/>
        </w:pPr>
      </w:lvl>
    </w:lvlOverride>
  </w:num>
  <w:num w:numId="7">
    <w:abstractNumId w:val="2"/>
    <w:lvlOverride w:ilvl="0">
      <w:startOverride w:val="1"/>
      <w:lvl w:ilvl="0" w:tplc="56F0BD86">
        <w:start w:val="1"/>
        <w:numFmt w:val="bullet"/>
        <w:lvlText w:val=""/>
        <w:lvlJc w:val="right"/>
        <w:pPr>
          <w:ind w:left="500" w:hanging="180"/>
        </w:pPr>
        <w:rPr>
          <w:rFonts w:ascii="Symbol" w:hAnsi="Symbol" w:hint="default"/>
        </w:rPr>
      </w:lvl>
    </w:lvlOverride>
    <w:lvlOverride w:ilvl="1">
      <w:startOverride w:val="1"/>
      <w:lvl w:ilvl="1" w:tplc="3898845A">
        <w:start w:val="1"/>
        <w:numFmt w:val="decimal"/>
        <w:lvlText w:val="%2."/>
        <w:lvlJc w:val="right"/>
        <w:pPr>
          <w:ind w:left="1000" w:hanging="180"/>
        </w:pPr>
      </w:lvl>
    </w:lvlOverride>
    <w:lvlOverride w:ilvl="2">
      <w:startOverride w:val="1"/>
      <w:lvl w:ilvl="2" w:tplc="18F4B2C0">
        <w:start w:val="1"/>
        <w:numFmt w:val="decimal"/>
        <w:lvlText w:val="%3."/>
        <w:lvlJc w:val="right"/>
        <w:pPr>
          <w:ind w:left="1500" w:hanging="180"/>
        </w:pPr>
      </w:lvl>
    </w:lvlOverride>
    <w:lvlOverride w:ilvl="3">
      <w:startOverride w:val="1"/>
      <w:lvl w:ilvl="3" w:tplc="1508597A">
        <w:start w:val="1"/>
        <w:numFmt w:val="decimal"/>
        <w:lvlText w:val="%4."/>
        <w:lvlJc w:val="right"/>
        <w:pPr>
          <w:ind w:left="2000" w:hanging="180"/>
        </w:pPr>
      </w:lvl>
    </w:lvlOverride>
    <w:lvlOverride w:ilvl="4">
      <w:startOverride w:val="1"/>
      <w:lvl w:ilvl="4" w:tplc="2E640498">
        <w:start w:val="1"/>
        <w:numFmt w:val="decimal"/>
        <w:lvlText w:val="%5."/>
        <w:lvlJc w:val="right"/>
        <w:pPr>
          <w:ind w:left="2500" w:hanging="180"/>
        </w:pPr>
      </w:lvl>
    </w:lvlOverride>
    <w:lvlOverride w:ilvl="5">
      <w:startOverride w:val="1"/>
      <w:lvl w:ilvl="5" w:tplc="83B67BA0">
        <w:start w:val="1"/>
        <w:numFmt w:val="decimal"/>
        <w:lvlText w:val="%6."/>
        <w:lvlJc w:val="right"/>
        <w:pPr>
          <w:ind w:left="3000" w:hanging="180"/>
        </w:pPr>
      </w:lvl>
    </w:lvlOverride>
    <w:lvlOverride w:ilvl="6">
      <w:startOverride w:val="1"/>
      <w:lvl w:ilvl="6" w:tplc="1A64BB16">
        <w:start w:val="1"/>
        <w:numFmt w:val="decimal"/>
        <w:lvlText w:val="%7."/>
        <w:lvlJc w:val="right"/>
        <w:pPr>
          <w:ind w:left="3500" w:hanging="180"/>
        </w:pPr>
      </w:lvl>
    </w:lvlOverride>
    <w:lvlOverride w:ilvl="7">
      <w:startOverride w:val="1"/>
      <w:lvl w:ilvl="7" w:tplc="BF000A2C">
        <w:start w:val="1"/>
        <w:numFmt w:val="decimal"/>
        <w:lvlText w:val="%8."/>
        <w:lvlJc w:val="right"/>
        <w:pPr>
          <w:ind w:left="4000" w:hanging="180"/>
        </w:pPr>
      </w:lvl>
    </w:lvlOverride>
    <w:lvlOverride w:ilvl="8">
      <w:startOverride w:val="1"/>
      <w:lvl w:ilvl="8" w:tplc="75606010">
        <w:start w:val="1"/>
        <w:numFmt w:val="decimal"/>
        <w:lvlText w:val="%9."/>
        <w:lvlJc w:val="right"/>
        <w:pPr>
          <w:ind w:left="4500" w:hanging="180"/>
        </w:pPr>
      </w:lvl>
    </w:lvlOverride>
  </w:num>
  <w:num w:numId="8">
    <w:abstractNumId w:val="4"/>
  </w:num>
  <w:num w:numId="9">
    <w:abstractNumId w:val="4"/>
    <w:lvlOverride w:ilvl="0">
      <w:startOverride w:val="1"/>
      <w:lvl w:ilvl="0" w:tplc="FF42148E">
        <w:start w:val="1"/>
        <w:numFmt w:val="bullet"/>
        <w:pStyle w:val="BulletParagraph"/>
        <w:lvlText w:val=""/>
        <w:lvlJc w:val="right"/>
        <w:pPr>
          <w:ind w:left="500" w:hanging="180"/>
        </w:pPr>
        <w:rPr>
          <w:rFonts w:ascii="Symbol" w:hAnsi="Symbol" w:hint="default"/>
        </w:rPr>
      </w:lvl>
    </w:lvlOverride>
    <w:lvlOverride w:ilvl="1">
      <w:startOverride w:val="1"/>
      <w:lvl w:ilvl="1" w:tplc="F3EC6BB0">
        <w:start w:val="1"/>
        <w:numFmt w:val="decimal"/>
        <w:lvlText w:val="%2."/>
        <w:lvlJc w:val="right"/>
        <w:pPr>
          <w:ind w:left="1000" w:hanging="180"/>
        </w:pPr>
      </w:lvl>
    </w:lvlOverride>
    <w:lvlOverride w:ilvl="2">
      <w:startOverride w:val="1"/>
      <w:lvl w:ilvl="2" w:tplc="AB149514">
        <w:start w:val="1"/>
        <w:numFmt w:val="decimal"/>
        <w:lvlText w:val="%3."/>
        <w:lvlJc w:val="right"/>
        <w:pPr>
          <w:ind w:left="1500" w:hanging="180"/>
        </w:pPr>
      </w:lvl>
    </w:lvlOverride>
    <w:lvlOverride w:ilvl="3">
      <w:startOverride w:val="1"/>
      <w:lvl w:ilvl="3" w:tplc="C568C232">
        <w:start w:val="1"/>
        <w:numFmt w:val="decimal"/>
        <w:lvlText w:val="%4."/>
        <w:lvlJc w:val="right"/>
        <w:pPr>
          <w:ind w:left="2000" w:hanging="180"/>
        </w:pPr>
      </w:lvl>
    </w:lvlOverride>
    <w:lvlOverride w:ilvl="4">
      <w:startOverride w:val="1"/>
      <w:lvl w:ilvl="4" w:tplc="A2480DB6">
        <w:start w:val="1"/>
        <w:numFmt w:val="decimal"/>
        <w:lvlText w:val="%5."/>
        <w:lvlJc w:val="right"/>
        <w:pPr>
          <w:ind w:left="2500" w:hanging="180"/>
        </w:pPr>
      </w:lvl>
    </w:lvlOverride>
    <w:lvlOverride w:ilvl="5">
      <w:startOverride w:val="1"/>
      <w:lvl w:ilvl="5" w:tplc="7C2C1298">
        <w:start w:val="1"/>
        <w:numFmt w:val="decimal"/>
        <w:lvlText w:val="%6."/>
        <w:lvlJc w:val="right"/>
        <w:pPr>
          <w:ind w:left="3000" w:hanging="180"/>
        </w:pPr>
      </w:lvl>
    </w:lvlOverride>
    <w:lvlOverride w:ilvl="6">
      <w:startOverride w:val="1"/>
      <w:lvl w:ilvl="6" w:tplc="8F2882B8">
        <w:start w:val="1"/>
        <w:numFmt w:val="decimal"/>
        <w:lvlText w:val="%7."/>
        <w:lvlJc w:val="right"/>
        <w:pPr>
          <w:ind w:left="3500" w:hanging="180"/>
        </w:pPr>
      </w:lvl>
    </w:lvlOverride>
    <w:lvlOverride w:ilvl="7">
      <w:startOverride w:val="1"/>
      <w:lvl w:ilvl="7" w:tplc="6D9E9FB2">
        <w:start w:val="1"/>
        <w:numFmt w:val="decimal"/>
        <w:lvlText w:val="%8."/>
        <w:lvlJc w:val="right"/>
        <w:pPr>
          <w:ind w:left="4000" w:hanging="180"/>
        </w:pPr>
      </w:lvl>
    </w:lvlOverride>
    <w:lvlOverride w:ilvl="8">
      <w:startOverride w:val="1"/>
      <w:lvl w:ilvl="8" w:tplc="E5847788">
        <w:start w:val="1"/>
        <w:numFmt w:val="decimal"/>
        <w:lvlText w:val="%9."/>
        <w:lvlJc w:val="right"/>
        <w:pPr>
          <w:ind w:left="450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2E"/>
    <w:rsid w:val="0058395C"/>
    <w:rsid w:val="009A34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EA4C"/>
  <w15:chartTrackingRefBased/>
  <w15:docId w15:val="{D633F036-4049-47E4-8C06-CC04D4B2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42E"/>
    <w:pPr>
      <w:spacing w:after="200" w:line="276" w:lineRule="auto"/>
      <w:jc w:val="both"/>
    </w:pPr>
    <w:rPr>
      <w:rFonts w:ascii="Times New Roman" w:eastAsiaTheme="minorEastAsia" w:hAnsi="Times New Roman"/>
      <w:sz w:val="24"/>
      <w:lang w:val="en-GB" w:eastAsia="en-GB"/>
    </w:rPr>
  </w:style>
  <w:style w:type="paragraph" w:styleId="Titre3">
    <w:name w:val="heading 3"/>
    <w:basedOn w:val="Normal"/>
    <w:next w:val="Normal"/>
    <w:link w:val="Titre3Car"/>
    <w:uiPriority w:val="9"/>
    <w:semiHidden/>
    <w:unhideWhenUsed/>
    <w:qFormat/>
    <w:rsid w:val="009A342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Three">
    <w:name w:val="HeadingThree"/>
    <w:basedOn w:val="Titre3"/>
    <w:next w:val="Normal"/>
    <w:link w:val="HeadingThreeChar"/>
    <w:qFormat/>
    <w:rsid w:val="009A342E"/>
    <w:pPr>
      <w:spacing w:before="240" w:after="240"/>
    </w:pPr>
    <w:rPr>
      <w:rFonts w:ascii="Times New Roman" w:hAnsi="Times New Roman" w:cs="Times New Roman"/>
      <w:b/>
      <w:bCs/>
      <w:szCs w:val="28"/>
    </w:rPr>
  </w:style>
  <w:style w:type="character" w:customStyle="1" w:styleId="HeadingThreeChar">
    <w:name w:val="HeadingThree Char"/>
    <w:basedOn w:val="Titre3Car"/>
    <w:link w:val="HeadingThree"/>
    <w:rsid w:val="009A342E"/>
    <w:rPr>
      <w:rFonts w:ascii="Times New Roman" w:eastAsiaTheme="majorEastAsia" w:hAnsi="Times New Roman" w:cs="Times New Roman"/>
      <w:b/>
      <w:bCs/>
      <w:color w:val="1F3763" w:themeColor="accent1" w:themeShade="7F"/>
      <w:sz w:val="24"/>
      <w:szCs w:val="28"/>
      <w:lang w:val="en-GB" w:eastAsia="en-GB"/>
    </w:rPr>
  </w:style>
  <w:style w:type="paragraph" w:styleId="Paragraphedeliste">
    <w:name w:val="List Paragraph"/>
    <w:basedOn w:val="Normal"/>
    <w:link w:val="ParagraphedelisteCar"/>
    <w:uiPriority w:val="34"/>
    <w:qFormat/>
    <w:rsid w:val="009A342E"/>
    <w:pPr>
      <w:ind w:left="720"/>
    </w:pPr>
  </w:style>
  <w:style w:type="character" w:customStyle="1" w:styleId="ParagraphedelisteCar">
    <w:name w:val="Paragraphe de liste Car"/>
    <w:basedOn w:val="Policepardfaut"/>
    <w:link w:val="Paragraphedeliste"/>
    <w:uiPriority w:val="34"/>
    <w:rsid w:val="009A342E"/>
    <w:rPr>
      <w:rFonts w:ascii="Times New Roman" w:eastAsiaTheme="minorEastAsia" w:hAnsi="Times New Roman"/>
      <w:sz w:val="24"/>
      <w:lang w:val="en-GB" w:eastAsia="en-GB"/>
    </w:rPr>
  </w:style>
  <w:style w:type="paragraph" w:customStyle="1" w:styleId="CellTextValue">
    <w:name w:val="CellTextValue"/>
    <w:basedOn w:val="Normal"/>
    <w:link w:val="CellTextValueChar"/>
    <w:qFormat/>
    <w:rsid w:val="009A342E"/>
    <w:pPr>
      <w:spacing w:after="80"/>
    </w:pPr>
    <w:rPr>
      <w:rFonts w:cs="Times New Roman"/>
      <w:szCs w:val="24"/>
    </w:rPr>
  </w:style>
  <w:style w:type="character" w:customStyle="1" w:styleId="CellTextValueChar">
    <w:name w:val="CellTextValue Char"/>
    <w:basedOn w:val="Policepardfaut"/>
    <w:link w:val="CellTextValue"/>
    <w:rsid w:val="009A342E"/>
    <w:rPr>
      <w:rFonts w:ascii="Times New Roman" w:eastAsiaTheme="minorEastAsia" w:hAnsi="Times New Roman" w:cs="Times New Roman"/>
      <w:sz w:val="24"/>
      <w:szCs w:val="24"/>
      <w:lang w:val="en-GB" w:eastAsia="en-GB"/>
    </w:rPr>
  </w:style>
  <w:style w:type="paragraph" w:customStyle="1" w:styleId="footnote1">
    <w:name w:val="footnote1"/>
    <w:basedOn w:val="Normal"/>
    <w:qFormat/>
    <w:rsid w:val="009A342E"/>
    <w:pPr>
      <w:spacing w:after="0" w:line="240" w:lineRule="auto"/>
      <w:ind w:left="720" w:hanging="720"/>
    </w:pPr>
    <w:rPr>
      <w:sz w:val="20"/>
    </w:rPr>
  </w:style>
  <w:style w:type="character" w:customStyle="1" w:styleId="Titre3Car">
    <w:name w:val="Titre 3 Car"/>
    <w:basedOn w:val="Policepardfaut"/>
    <w:link w:val="Titre3"/>
    <w:uiPriority w:val="9"/>
    <w:semiHidden/>
    <w:rsid w:val="009A342E"/>
    <w:rPr>
      <w:rFonts w:asciiTheme="majorHAnsi" w:eastAsiaTheme="majorEastAsia" w:hAnsiTheme="majorHAnsi" w:cstheme="majorBidi"/>
      <w:color w:val="1F3763" w:themeColor="accent1" w:themeShade="7F"/>
      <w:sz w:val="24"/>
      <w:szCs w:val="24"/>
      <w:lang w:val="en-GB" w:eastAsia="en-GB"/>
    </w:rPr>
  </w:style>
  <w:style w:type="paragraph" w:customStyle="1" w:styleId="footnote2">
    <w:name w:val="footnote2"/>
    <w:basedOn w:val="footnote1"/>
    <w:qFormat/>
    <w:rsid w:val="009A342E"/>
    <w:pPr>
      <w:ind w:firstLine="0"/>
    </w:pPr>
  </w:style>
  <w:style w:type="paragraph" w:customStyle="1" w:styleId="BulletParagraph">
    <w:name w:val="BulletParagraph"/>
    <w:basedOn w:val="Paragraphedeliste"/>
    <w:qFormat/>
    <w:rsid w:val="009A342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ri-portfolio.esfri.eu/" TargetMode="External"/><Relationship Id="rId3" Type="http://schemas.openxmlformats.org/officeDocument/2006/relationships/hyperlink" Target="https://research-and-innovation.ec.europa.eu/news/all-research-and-innovation-news/new-report-food-2030-research-and-innovation-pathways-action-20-2023-12-04_en" TargetMode="External"/><Relationship Id="rId7" Type="http://schemas.openxmlformats.org/officeDocument/2006/relationships/hyperlink" Target="https://research-and-innovation.ec.europa.eu/strategy/support-policy-making/shaping-eu-research-and-innovation-policy/new-european-innovation-agenda_en" TargetMode="External"/><Relationship Id="rId12" Type="http://schemas.openxmlformats.org/officeDocument/2006/relationships/hyperlink" Target="https://research-and-innovation.ec.europa.eu/research-area/environment/nature-based-solutions_en" TargetMode="External"/><Relationship Id="rId2" Type="http://schemas.openxmlformats.org/officeDocument/2006/relationships/hyperlink" Target="https://ec.europa.eu/info/funding-tenders/opportunities/docs/2021-2027/horizon/guidance/ls-decision_he_en.pdf" TargetMode="External"/><Relationship Id="rId1" Type="http://schemas.openxmlformats.org/officeDocument/2006/relationships/hyperlink" Target="https://ec.europa.eu/info/funding-tenders/opportunities/docs/2021-2027/horizon/guidance/ls-decision_he_en.pdf" TargetMode="External"/><Relationship Id="rId6" Type="http://schemas.openxmlformats.org/officeDocument/2006/relationships/hyperlink" Target="https://link.springer.com/article/10.1007/s11367-022-02087-0" TargetMode="External"/><Relationship Id="rId11" Type="http://schemas.openxmlformats.org/officeDocument/2006/relationships/hyperlink" Target="https://ec.europa.eu/info/funding-tenders/opportunities/docs/2021-2027/horizon/guidance/ls-decision_he_en.pdf" TargetMode="External"/><Relationship Id="rId5" Type="http://schemas.openxmlformats.org/officeDocument/2006/relationships/hyperlink" Target="https://research-and-innovation.ec.europa.eu/news/all-research-and-innovation-news/new-report-food-2030-research-and-innovation-pathways-action-20-2023-12-04_en" TargetMode="External"/><Relationship Id="rId10" Type="http://schemas.openxmlformats.org/officeDocument/2006/relationships/hyperlink" Target="https://ec.europa.eu/info/funding-tenders/opportunities/docs/2021-2027/horizon/guidance/ls-decision_he_en.pdf" TargetMode="External"/><Relationship Id="rId4" Type="http://schemas.openxmlformats.org/officeDocument/2006/relationships/hyperlink" Target="https://cordis.europa.eu/project/id/101134847" TargetMode="External"/><Relationship Id="rId9" Type="http://schemas.openxmlformats.org/officeDocument/2006/relationships/hyperlink" Target="https://ri-portfolio.esfri.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6242</Words>
  <Characters>34333</Characters>
  <Application>Microsoft Office Word</Application>
  <DocSecurity>0</DocSecurity>
  <Lines>286</Lines>
  <Paragraphs>80</Paragraphs>
  <ScaleCrop>false</ScaleCrop>
  <Company/>
  <LinksUpToDate>false</LinksUpToDate>
  <CharactersWithSpaces>40495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Brendel</dc:creator>
  <cp:keywords/>
  <dc:description/>
  <cp:lastModifiedBy>Louis Brendel</cp:lastModifiedBy>
  <cp:revision>1</cp:revision>
  <dcterms:created xsi:type="dcterms:W3CDTF">2024-10-25T13:47:00Z</dcterms:created>
  <dcterms:modified xsi:type="dcterms:W3CDTF">2024-10-25T13:50:00Z</dcterms:modified>
</cp:coreProperties>
</file>