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C36A" w14:textId="77777777" w:rsidR="00AE1F8F" w:rsidRPr="00870667" w:rsidRDefault="00AE1F8F" w:rsidP="00AE1F8F">
      <w:pPr>
        <w:pStyle w:val="Titre1"/>
        <w:tabs>
          <w:tab w:val="left" w:pos="5940"/>
        </w:tabs>
        <w:spacing w:before="0" w:after="120"/>
        <w:ind w:right="97"/>
        <w:jc w:val="center"/>
        <w:rPr>
          <w:rFonts w:asciiTheme="minorHAnsi" w:hAnsiTheme="minorHAnsi"/>
          <w:color w:val="943634" w:themeColor="accent2" w:themeShade="BF"/>
        </w:rPr>
      </w:pPr>
      <w:r w:rsidRPr="00870667">
        <w:rPr>
          <w:rFonts w:asciiTheme="minorHAnsi" w:hAnsiTheme="minorHAnsi"/>
          <w:color w:val="943634" w:themeColor="accent2" w:themeShade="BF"/>
        </w:rPr>
        <w:t xml:space="preserve">Appel à projets </w:t>
      </w:r>
      <w:r w:rsidR="00222D88" w:rsidRPr="00870667">
        <w:rPr>
          <w:rFonts w:asciiTheme="minorHAnsi" w:hAnsiTheme="minorHAnsi"/>
          <w:color w:val="943634" w:themeColor="accent2" w:themeShade="BF"/>
        </w:rPr>
        <w:t>incitatifs à</w:t>
      </w:r>
      <w:r w:rsidRPr="00870667">
        <w:rPr>
          <w:rFonts w:asciiTheme="minorHAnsi" w:hAnsiTheme="minorHAnsi"/>
          <w:color w:val="943634" w:themeColor="accent2" w:themeShade="BF"/>
        </w:rPr>
        <w:t xml:space="preserve"> la démarche </w:t>
      </w:r>
      <w:r w:rsidR="005A64C8" w:rsidRPr="00870667">
        <w:rPr>
          <w:rFonts w:asciiTheme="minorHAnsi" w:hAnsiTheme="minorHAnsi"/>
          <w:color w:val="943634" w:themeColor="accent2" w:themeShade="BF"/>
        </w:rPr>
        <w:t>Qualité</w:t>
      </w:r>
    </w:p>
    <w:p w14:paraId="330A8782" w14:textId="77777777" w:rsidR="00AE1F8F" w:rsidRDefault="00E42443" w:rsidP="00DB7AB8">
      <w:pPr>
        <w:pStyle w:val="Titre1"/>
        <w:tabs>
          <w:tab w:val="left" w:pos="5940"/>
        </w:tabs>
        <w:spacing w:before="0" w:after="120"/>
        <w:ind w:right="97"/>
        <w:jc w:val="center"/>
        <w:rPr>
          <w:rFonts w:asciiTheme="minorHAnsi" w:hAnsiTheme="minorHAnsi"/>
          <w:color w:val="943634" w:themeColor="accent2" w:themeShade="BF"/>
        </w:rPr>
      </w:pPr>
      <w:proofErr w:type="gramStart"/>
      <w:r w:rsidRPr="00870667">
        <w:rPr>
          <w:rFonts w:asciiTheme="minorHAnsi" w:hAnsiTheme="minorHAnsi"/>
          <w:color w:val="943634" w:themeColor="accent2" w:themeShade="BF"/>
        </w:rPr>
        <w:t>du</w:t>
      </w:r>
      <w:proofErr w:type="gramEnd"/>
      <w:r w:rsidRPr="00870667">
        <w:rPr>
          <w:rFonts w:asciiTheme="minorHAnsi" w:hAnsiTheme="minorHAnsi"/>
          <w:color w:val="943634" w:themeColor="accent2" w:themeShade="BF"/>
        </w:rPr>
        <w:t xml:space="preserve"> Département MICA</w:t>
      </w:r>
      <w:r w:rsidR="00DB7AB8">
        <w:rPr>
          <w:rFonts w:asciiTheme="minorHAnsi" w:hAnsiTheme="minorHAnsi"/>
          <w:color w:val="943634" w:themeColor="accent2" w:themeShade="BF"/>
        </w:rPr>
        <w:t xml:space="preserve"> </w:t>
      </w:r>
      <w:r w:rsidRPr="00870667">
        <w:rPr>
          <w:rFonts w:asciiTheme="minorHAnsi" w:hAnsiTheme="minorHAnsi"/>
          <w:color w:val="943634" w:themeColor="accent2" w:themeShade="BF"/>
        </w:rPr>
        <w:t>É</w:t>
      </w:r>
      <w:r w:rsidR="00AE1F8F" w:rsidRPr="00870667">
        <w:rPr>
          <w:rFonts w:asciiTheme="minorHAnsi" w:hAnsiTheme="minorHAnsi"/>
          <w:color w:val="943634" w:themeColor="accent2" w:themeShade="BF"/>
        </w:rPr>
        <w:t>dition</w:t>
      </w:r>
      <w:r w:rsidR="00A93A6A" w:rsidRPr="00870667">
        <w:rPr>
          <w:rFonts w:asciiTheme="minorHAnsi" w:hAnsiTheme="minorHAnsi"/>
          <w:color w:val="943634" w:themeColor="accent2" w:themeShade="BF"/>
        </w:rPr>
        <w:t xml:space="preserve"> </w:t>
      </w:r>
      <w:r w:rsidRPr="00E22E66">
        <w:rPr>
          <w:rFonts w:asciiTheme="minorHAnsi" w:hAnsiTheme="minorHAnsi"/>
          <w:color w:val="943634" w:themeColor="accent2" w:themeShade="BF"/>
        </w:rPr>
        <w:t>20</w:t>
      </w:r>
      <w:r w:rsidR="00DB514C">
        <w:rPr>
          <w:rFonts w:asciiTheme="minorHAnsi" w:hAnsiTheme="minorHAnsi"/>
          <w:color w:val="943634" w:themeColor="accent2" w:themeShade="BF"/>
        </w:rPr>
        <w:t>25</w:t>
      </w:r>
    </w:p>
    <w:p w14:paraId="35FD6370" w14:textId="77777777" w:rsidR="00DB7AB8" w:rsidRPr="00DB7AB8" w:rsidRDefault="00DB7AB8" w:rsidP="00DB7AB8">
      <w:pPr>
        <w:jc w:val="center"/>
      </w:pPr>
      <w:r>
        <w:t xml:space="preserve">Date limite de transmission des demandes : </w:t>
      </w:r>
      <w:r w:rsidRPr="00DB7AB8">
        <w:rPr>
          <w:b/>
          <w:color w:val="FF0000"/>
        </w:rPr>
        <w:t>23 septembre 2024</w:t>
      </w:r>
    </w:p>
    <w:p w14:paraId="54DC9807" w14:textId="77777777" w:rsidR="0006046A" w:rsidRPr="0006046A" w:rsidRDefault="0006046A" w:rsidP="00A93A6A">
      <w:pPr>
        <w:jc w:val="center"/>
        <w:rPr>
          <w:rFonts w:ascii="Cambria" w:hAnsi="Cambria"/>
          <w:color w:val="365F91"/>
          <w:sz w:val="24"/>
          <w:szCs w:val="24"/>
        </w:rPr>
      </w:pPr>
    </w:p>
    <w:p w14:paraId="2DC1244E" w14:textId="77777777" w:rsidR="0006046A" w:rsidRPr="0006046A" w:rsidRDefault="0006046A" w:rsidP="00D51A54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Cs/>
          <w:sz w:val="24"/>
          <w:szCs w:val="24"/>
          <w:lang w:eastAsia="fr-FR"/>
        </w:rPr>
      </w:pPr>
      <w:r w:rsidRPr="0006046A">
        <w:rPr>
          <w:rFonts w:cs="Arial"/>
          <w:bCs/>
          <w:sz w:val="24"/>
          <w:szCs w:val="24"/>
          <w:lang w:eastAsia="fr-FR"/>
        </w:rPr>
        <w:t xml:space="preserve">La démarche </w:t>
      </w:r>
      <w:r w:rsidR="005A64C8">
        <w:rPr>
          <w:rFonts w:cs="Arial"/>
          <w:bCs/>
          <w:sz w:val="24"/>
          <w:szCs w:val="24"/>
          <w:lang w:eastAsia="fr-FR"/>
        </w:rPr>
        <w:t>Q</w:t>
      </w:r>
      <w:r w:rsidR="005A64C8" w:rsidRPr="0006046A">
        <w:rPr>
          <w:rFonts w:cs="Arial"/>
          <w:bCs/>
          <w:sz w:val="24"/>
          <w:szCs w:val="24"/>
          <w:lang w:eastAsia="fr-FR"/>
        </w:rPr>
        <w:t xml:space="preserve">ualité </w:t>
      </w:r>
      <w:r w:rsidRPr="0006046A">
        <w:rPr>
          <w:rFonts w:cs="Arial"/>
          <w:bCs/>
          <w:sz w:val="24"/>
          <w:szCs w:val="24"/>
          <w:lang w:eastAsia="fr-FR"/>
        </w:rPr>
        <w:t xml:space="preserve">est un outil efficace au service de l’organisation et du management des </w:t>
      </w:r>
      <w:r w:rsidR="00E42443">
        <w:rPr>
          <w:rFonts w:cs="Arial"/>
          <w:bCs/>
          <w:sz w:val="24"/>
          <w:szCs w:val="24"/>
          <w:lang w:eastAsia="fr-FR"/>
        </w:rPr>
        <w:t>u</w:t>
      </w:r>
      <w:r w:rsidRPr="0006046A">
        <w:rPr>
          <w:rFonts w:cs="Arial"/>
          <w:bCs/>
          <w:sz w:val="24"/>
          <w:szCs w:val="24"/>
          <w:lang w:eastAsia="fr-FR"/>
        </w:rPr>
        <w:t xml:space="preserve">nités, permettant d’assurer la fiabilité et la traçabilité des activités. Chaque unité doit se l’approprier et l’adapter à ses propres priorités et besoins. </w:t>
      </w:r>
    </w:p>
    <w:p w14:paraId="659A7D0E" w14:textId="77777777" w:rsidR="0006046A" w:rsidRDefault="0006046A" w:rsidP="00D51A54">
      <w:pPr>
        <w:autoSpaceDE w:val="0"/>
        <w:autoSpaceDN w:val="0"/>
        <w:adjustRightInd w:val="0"/>
        <w:spacing w:after="120" w:line="240" w:lineRule="auto"/>
        <w:rPr>
          <w:rFonts w:cs="Arial"/>
          <w:sz w:val="24"/>
          <w:szCs w:val="24"/>
        </w:rPr>
      </w:pP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51A54" w:rsidRPr="00E22E66" w14:paraId="6BA29335" w14:textId="77777777" w:rsidTr="00A37B49">
        <w:tc>
          <w:tcPr>
            <w:tcW w:w="9889" w:type="dxa"/>
          </w:tcPr>
          <w:p w14:paraId="72BC6F2E" w14:textId="77777777" w:rsidR="00D51A54" w:rsidRPr="00E22E66" w:rsidRDefault="00D51A54" w:rsidP="00D51A54">
            <w:pPr>
              <w:autoSpaceDE w:val="0"/>
              <w:autoSpaceDN w:val="0"/>
              <w:adjustRightInd w:val="0"/>
              <w:spacing w:after="120" w:line="240" w:lineRule="auto"/>
              <w:rPr>
                <w:rFonts w:cs="Arial"/>
                <w:sz w:val="24"/>
                <w:szCs w:val="24"/>
              </w:rPr>
            </w:pPr>
            <w:r w:rsidRPr="00E22E66">
              <w:rPr>
                <w:rFonts w:cs="Arial"/>
                <w:sz w:val="24"/>
                <w:szCs w:val="24"/>
              </w:rPr>
              <w:t xml:space="preserve">Pour accompagner la </w:t>
            </w:r>
            <w:r w:rsidRPr="00E22E66">
              <w:rPr>
                <w:rFonts w:cs="Arial"/>
                <w:b/>
                <w:sz w:val="24"/>
                <w:szCs w:val="24"/>
              </w:rPr>
              <w:t>démarche Qualité</w:t>
            </w:r>
            <w:r w:rsidRPr="00E22E66">
              <w:rPr>
                <w:rFonts w:cs="Arial"/>
                <w:sz w:val="24"/>
                <w:szCs w:val="24"/>
              </w:rPr>
              <w:t xml:space="preserve"> des unités du Département et soutenir les actions menées par les Animateurs Qualité dans les unités, le Département MICA financera</w:t>
            </w:r>
            <w:r w:rsidR="00A37B49" w:rsidRPr="00E22E66">
              <w:rPr>
                <w:rFonts w:cs="Arial"/>
                <w:sz w:val="24"/>
                <w:szCs w:val="24"/>
              </w:rPr>
              <w:t xml:space="preserve"> en 20</w:t>
            </w:r>
            <w:r w:rsidR="00E407D3">
              <w:rPr>
                <w:rFonts w:cs="Arial"/>
                <w:sz w:val="24"/>
                <w:szCs w:val="24"/>
              </w:rPr>
              <w:t>2</w:t>
            </w:r>
            <w:r w:rsidR="00CF4E9A">
              <w:rPr>
                <w:rFonts w:cs="Arial"/>
                <w:sz w:val="24"/>
                <w:szCs w:val="24"/>
              </w:rPr>
              <w:t>4</w:t>
            </w:r>
            <w:r w:rsidRPr="00E22E66">
              <w:rPr>
                <w:rFonts w:cs="Arial"/>
                <w:sz w:val="24"/>
                <w:szCs w:val="24"/>
              </w:rPr>
              <w:t xml:space="preserve"> :</w:t>
            </w:r>
          </w:p>
          <w:p w14:paraId="42022388" w14:textId="77777777" w:rsidR="00D51A54" w:rsidRPr="00E22E66" w:rsidRDefault="00D51A54" w:rsidP="00D51A54">
            <w:pPr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E22E66">
              <w:rPr>
                <w:rFonts w:cs="Arial"/>
                <w:b/>
                <w:sz w:val="24"/>
                <w:szCs w:val="24"/>
              </w:rPr>
              <w:t>5 à 7 projets</w:t>
            </w:r>
          </w:p>
          <w:p w14:paraId="671A00EE" w14:textId="77777777" w:rsidR="00D51A54" w:rsidRPr="00E22E66" w:rsidRDefault="00D51A54" w:rsidP="00E33FAC">
            <w:pPr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E22E66">
              <w:rPr>
                <w:rFonts w:cs="Arial"/>
                <w:b/>
                <w:sz w:val="24"/>
                <w:szCs w:val="24"/>
              </w:rPr>
              <w:t>maximum</w:t>
            </w:r>
            <w:proofErr w:type="gramEnd"/>
            <w:r w:rsidRPr="00E22E66">
              <w:rPr>
                <w:rFonts w:cs="Arial"/>
                <w:b/>
                <w:sz w:val="24"/>
                <w:szCs w:val="24"/>
              </w:rPr>
              <w:t xml:space="preserve"> 2000 € par projet</w:t>
            </w:r>
            <w:r w:rsidRPr="00E22E66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14:paraId="56F655E8" w14:textId="77777777" w:rsidR="00D51A54" w:rsidRPr="00E22E66" w:rsidRDefault="00D51A54" w:rsidP="00D51A54">
      <w:pPr>
        <w:autoSpaceDE w:val="0"/>
        <w:autoSpaceDN w:val="0"/>
        <w:adjustRightInd w:val="0"/>
        <w:spacing w:after="120" w:line="240" w:lineRule="auto"/>
        <w:rPr>
          <w:rFonts w:cs="Arial"/>
          <w:sz w:val="24"/>
          <w:szCs w:val="24"/>
        </w:rPr>
      </w:pPr>
    </w:p>
    <w:p w14:paraId="434A96A6" w14:textId="77777777" w:rsidR="00513E5D" w:rsidRPr="00E22E66" w:rsidRDefault="0006046A" w:rsidP="00D51A54">
      <w:p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 xml:space="preserve">Les projets favorisant la mutualisation entre équipes et les actions nouvelles seront privilégiés. </w:t>
      </w:r>
      <w:r w:rsidR="00513E5D">
        <w:rPr>
          <w:rFonts w:cs="Arial"/>
          <w:sz w:val="24"/>
          <w:szCs w:val="24"/>
        </w:rPr>
        <w:br/>
        <w:t>Un autofinancement partiel du projet par l’unité sera apprécié.</w:t>
      </w:r>
    </w:p>
    <w:p w14:paraId="1F823154" w14:textId="77777777" w:rsidR="0006046A" w:rsidRPr="00E22E66" w:rsidRDefault="0006046A" w:rsidP="00D51A54">
      <w:p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>Sont éligibles les projets visant :</w:t>
      </w:r>
    </w:p>
    <w:p w14:paraId="60AB20E1" w14:textId="77777777" w:rsidR="0006046A" w:rsidRPr="00E22E66" w:rsidRDefault="0006046A" w:rsidP="00D51A54">
      <w:pPr>
        <w:numPr>
          <w:ilvl w:val="0"/>
          <w:numId w:val="3"/>
        </w:num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>à mettre en place une action qualité pertinente (i.e. journée thématique Qualité pour sensibiliser le personnel de l'</w:t>
      </w:r>
      <w:r w:rsidR="006B639F">
        <w:rPr>
          <w:rFonts w:cs="Arial"/>
          <w:sz w:val="24"/>
          <w:szCs w:val="24"/>
        </w:rPr>
        <w:t>u</w:t>
      </w:r>
      <w:r w:rsidRPr="00E22E66">
        <w:rPr>
          <w:rFonts w:cs="Arial"/>
          <w:sz w:val="24"/>
          <w:szCs w:val="24"/>
        </w:rPr>
        <w:t>nité,</w:t>
      </w:r>
      <w:r w:rsidR="001D3E31" w:rsidRPr="00E22E66">
        <w:rPr>
          <w:rFonts w:cs="Arial"/>
          <w:sz w:val="24"/>
          <w:szCs w:val="24"/>
        </w:rPr>
        <w:t xml:space="preserve"> </w:t>
      </w:r>
      <w:r w:rsidR="00820AFF" w:rsidRPr="00E22E66">
        <w:rPr>
          <w:rFonts w:cs="Arial"/>
          <w:sz w:val="24"/>
          <w:szCs w:val="24"/>
        </w:rPr>
        <w:t xml:space="preserve">formation des Animateurs Qualité, </w:t>
      </w:r>
      <w:r w:rsidRPr="00E22E66">
        <w:rPr>
          <w:rFonts w:cs="Arial"/>
          <w:sz w:val="24"/>
          <w:szCs w:val="24"/>
        </w:rPr>
        <w:t xml:space="preserve">…), </w:t>
      </w:r>
    </w:p>
    <w:p w14:paraId="20194EE0" w14:textId="77777777" w:rsidR="0006046A" w:rsidRPr="00E22E66" w:rsidRDefault="0006046A" w:rsidP="00D51A54">
      <w:pPr>
        <w:numPr>
          <w:ilvl w:val="0"/>
          <w:numId w:val="3"/>
        </w:num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>à acheter un équipement ou un outil utile à la démarche Qualité</w:t>
      </w:r>
      <w:r w:rsidR="001D3E31" w:rsidRPr="00E22E66">
        <w:rPr>
          <w:rFonts w:cs="Arial"/>
          <w:sz w:val="24"/>
          <w:szCs w:val="24"/>
        </w:rPr>
        <w:t xml:space="preserve"> de l’unité</w:t>
      </w:r>
      <w:r w:rsidRPr="00E22E66">
        <w:rPr>
          <w:rFonts w:cs="Arial"/>
          <w:sz w:val="24"/>
          <w:szCs w:val="24"/>
        </w:rPr>
        <w:t xml:space="preserve"> (étalons, sondes de température,…) </w:t>
      </w:r>
    </w:p>
    <w:p w14:paraId="05F3B9E0" w14:textId="77777777" w:rsidR="0006046A" w:rsidRPr="00E22E66" w:rsidRDefault="0006046A" w:rsidP="00D51A54">
      <w:pPr>
        <w:numPr>
          <w:ilvl w:val="0"/>
          <w:numId w:val="3"/>
        </w:num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>ou à accueillir un stagiaire Qualité (i.e. réalisation d'un inventaire, gestion d'échantillons,…).</w:t>
      </w:r>
    </w:p>
    <w:p w14:paraId="722E7953" w14:textId="77777777" w:rsidR="00D51A54" w:rsidRPr="00E22E66" w:rsidRDefault="00D51A54" w:rsidP="00D51A54">
      <w:pPr>
        <w:spacing w:after="120" w:line="240" w:lineRule="auto"/>
        <w:jc w:val="both"/>
        <w:rPr>
          <w:rFonts w:cs="Arial"/>
          <w:sz w:val="24"/>
          <w:szCs w:val="24"/>
        </w:rPr>
      </w:pPr>
    </w:p>
    <w:p w14:paraId="7BF152C5" w14:textId="77777777" w:rsidR="00A37B49" w:rsidRDefault="0006046A" w:rsidP="00D51A54">
      <w:p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 xml:space="preserve">La liste des projets financés sera ensuite publiée sur le site </w:t>
      </w:r>
      <w:r w:rsidR="00D51A54" w:rsidRPr="00E22E66">
        <w:rPr>
          <w:rFonts w:cs="Arial"/>
          <w:sz w:val="24"/>
          <w:szCs w:val="24"/>
        </w:rPr>
        <w:t>web intranet</w:t>
      </w:r>
      <w:r w:rsidRPr="00E22E66">
        <w:rPr>
          <w:rFonts w:cs="Arial"/>
          <w:sz w:val="24"/>
          <w:szCs w:val="24"/>
        </w:rPr>
        <w:t xml:space="preserve"> du Département</w:t>
      </w:r>
      <w:r w:rsidR="00A37B49" w:rsidRPr="00E22E66">
        <w:rPr>
          <w:rFonts w:cs="Arial"/>
          <w:sz w:val="24"/>
          <w:szCs w:val="24"/>
        </w:rPr>
        <w:t>.</w:t>
      </w:r>
    </w:p>
    <w:p w14:paraId="740145E0" w14:textId="77777777" w:rsidR="00E22E66" w:rsidRPr="00E22E66" w:rsidRDefault="00E22E66" w:rsidP="00D51A54">
      <w:pPr>
        <w:spacing w:after="120" w:line="240" w:lineRule="auto"/>
        <w:jc w:val="both"/>
        <w:rPr>
          <w:rFonts w:cs="Arial"/>
          <w:sz w:val="24"/>
          <w:szCs w:val="24"/>
        </w:rPr>
      </w:pPr>
    </w:p>
    <w:p w14:paraId="6FE29B62" w14:textId="77777777" w:rsidR="0006046A" w:rsidRPr="00E22E66" w:rsidRDefault="004663F3" w:rsidP="00D51A54">
      <w:pPr>
        <w:spacing w:after="120" w:line="240" w:lineRule="auto"/>
        <w:jc w:val="both"/>
        <w:rPr>
          <w:rFonts w:cs="Arial"/>
          <w:sz w:val="24"/>
          <w:szCs w:val="24"/>
        </w:rPr>
      </w:pPr>
      <w:r w:rsidRPr="00E22E66">
        <w:rPr>
          <w:rFonts w:cs="Arial"/>
          <w:sz w:val="24"/>
          <w:szCs w:val="24"/>
        </w:rPr>
        <w:t>Pour répondre à cet appel, le ou les Animateurs Qualité de l'</w:t>
      </w:r>
      <w:r w:rsidR="00A37B49" w:rsidRPr="00E22E66">
        <w:rPr>
          <w:rFonts w:cs="Arial"/>
          <w:sz w:val="24"/>
          <w:szCs w:val="24"/>
        </w:rPr>
        <w:t>u</w:t>
      </w:r>
      <w:r w:rsidRPr="00E22E66">
        <w:rPr>
          <w:rFonts w:cs="Arial"/>
          <w:sz w:val="24"/>
          <w:szCs w:val="24"/>
        </w:rPr>
        <w:t xml:space="preserve">nité en concertation avec le Directeur d'Unité doivent </w:t>
      </w:r>
      <w:r w:rsidR="0006046A" w:rsidRPr="00E22E66">
        <w:rPr>
          <w:rFonts w:cs="Arial"/>
          <w:sz w:val="24"/>
          <w:szCs w:val="24"/>
        </w:rPr>
        <w:t>:</w:t>
      </w:r>
    </w:p>
    <w:p w14:paraId="636FE5ED" w14:textId="77777777" w:rsidR="0006046A" w:rsidRPr="00E22E66" w:rsidRDefault="00BC1BDA" w:rsidP="00820AFF">
      <w:pPr>
        <w:numPr>
          <w:ilvl w:val="0"/>
          <w:numId w:val="5"/>
        </w:numPr>
        <w:spacing w:after="12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remplir le formulaire </w:t>
      </w:r>
      <w:r w:rsidR="00820AFF" w:rsidRPr="00E22E66">
        <w:rPr>
          <w:rFonts w:cs="Arial"/>
          <w:sz w:val="24"/>
          <w:szCs w:val="24"/>
        </w:rPr>
        <w:t xml:space="preserve">et </w:t>
      </w:r>
      <w:r w:rsidR="00163BA3" w:rsidRPr="00E22E66">
        <w:rPr>
          <w:rFonts w:cs="Arial"/>
          <w:b/>
          <w:color w:val="FF0000"/>
          <w:sz w:val="24"/>
          <w:szCs w:val="24"/>
        </w:rPr>
        <w:t>joindre un devis</w:t>
      </w:r>
      <w:r w:rsidR="00163BA3" w:rsidRPr="00E22E66">
        <w:rPr>
          <w:rFonts w:cs="Arial"/>
          <w:sz w:val="24"/>
          <w:szCs w:val="24"/>
        </w:rPr>
        <w:t xml:space="preserve"> en cas de demande de financement d’un équipement</w:t>
      </w:r>
      <w:r w:rsidR="009C6E5F">
        <w:rPr>
          <w:rFonts w:cs="Arial"/>
          <w:sz w:val="24"/>
          <w:szCs w:val="24"/>
        </w:rPr>
        <w:t>,</w:t>
      </w:r>
    </w:p>
    <w:p w14:paraId="56D4A185" w14:textId="77777777" w:rsidR="0006046A" w:rsidRPr="00E22E66" w:rsidRDefault="009007D9" w:rsidP="00820AFF">
      <w:pPr>
        <w:numPr>
          <w:ilvl w:val="0"/>
          <w:numId w:val="5"/>
        </w:numPr>
        <w:spacing w:after="120" w:line="240" w:lineRule="auto"/>
        <w:jc w:val="both"/>
        <w:rPr>
          <w:rFonts w:cs="Arial"/>
          <w:sz w:val="24"/>
          <w:szCs w:val="24"/>
        </w:rPr>
      </w:pPr>
      <w:proofErr w:type="gramStart"/>
      <w:r w:rsidRPr="00E22E66">
        <w:rPr>
          <w:rFonts w:cs="Arial"/>
          <w:sz w:val="24"/>
          <w:szCs w:val="24"/>
        </w:rPr>
        <w:t>le</w:t>
      </w:r>
      <w:proofErr w:type="gramEnd"/>
      <w:r w:rsidRPr="00E22E66">
        <w:rPr>
          <w:rFonts w:cs="Arial"/>
          <w:sz w:val="24"/>
          <w:szCs w:val="24"/>
        </w:rPr>
        <w:t xml:space="preserve"> renommer : AO_QUALITE</w:t>
      </w:r>
      <w:r w:rsidR="0006046A" w:rsidRPr="00E22E66">
        <w:rPr>
          <w:rFonts w:cs="Arial"/>
          <w:sz w:val="24"/>
          <w:szCs w:val="24"/>
        </w:rPr>
        <w:t>_MICA_20</w:t>
      </w:r>
      <w:r w:rsidR="00E33FAC">
        <w:rPr>
          <w:rFonts w:cs="Arial"/>
          <w:sz w:val="24"/>
          <w:szCs w:val="24"/>
        </w:rPr>
        <w:t>2</w:t>
      </w:r>
      <w:r w:rsidR="000804F8">
        <w:rPr>
          <w:rFonts w:cs="Arial"/>
          <w:sz w:val="24"/>
          <w:szCs w:val="24"/>
        </w:rPr>
        <w:t>3</w:t>
      </w:r>
      <w:r w:rsidR="0006046A" w:rsidRPr="00E22E66">
        <w:rPr>
          <w:rFonts w:cs="Arial"/>
          <w:sz w:val="24"/>
          <w:szCs w:val="24"/>
        </w:rPr>
        <w:t>_</w:t>
      </w:r>
      <w:r w:rsidR="00D51A54" w:rsidRPr="00E22E66">
        <w:rPr>
          <w:rFonts w:cs="Arial"/>
          <w:sz w:val="24"/>
          <w:szCs w:val="24"/>
        </w:rPr>
        <w:t xml:space="preserve">ACRONYME </w:t>
      </w:r>
      <w:r w:rsidR="0006046A" w:rsidRPr="00E22E66">
        <w:rPr>
          <w:rFonts w:cs="Arial"/>
          <w:sz w:val="24"/>
          <w:szCs w:val="24"/>
        </w:rPr>
        <w:t>UNIT</w:t>
      </w:r>
      <w:r w:rsidR="00D51A54" w:rsidRPr="00E22E66">
        <w:rPr>
          <w:rFonts w:cs="Arial"/>
          <w:sz w:val="24"/>
          <w:szCs w:val="24"/>
        </w:rPr>
        <w:t>É</w:t>
      </w:r>
      <w:r w:rsidR="009C6E5F">
        <w:rPr>
          <w:rFonts w:cs="Arial"/>
          <w:sz w:val="24"/>
          <w:szCs w:val="24"/>
        </w:rPr>
        <w:t>,</w:t>
      </w:r>
    </w:p>
    <w:p w14:paraId="36453ECA" w14:textId="77777777" w:rsidR="0006046A" w:rsidRPr="007D4D2E" w:rsidRDefault="000058BB" w:rsidP="00820AFF">
      <w:pPr>
        <w:numPr>
          <w:ilvl w:val="0"/>
          <w:numId w:val="5"/>
        </w:numPr>
        <w:spacing w:after="120" w:line="240" w:lineRule="auto"/>
        <w:jc w:val="both"/>
        <w:rPr>
          <w:rFonts w:cs="Arial"/>
          <w:color w:val="FF0000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saisir</w:t>
      </w:r>
      <w:proofErr w:type="gramEnd"/>
      <w:r>
        <w:rPr>
          <w:rFonts w:cs="Arial"/>
          <w:sz w:val="24"/>
          <w:szCs w:val="24"/>
        </w:rPr>
        <w:t xml:space="preserve"> </w:t>
      </w:r>
      <w:r w:rsidR="00213D79">
        <w:rPr>
          <w:rFonts w:cs="Arial"/>
          <w:sz w:val="24"/>
          <w:szCs w:val="24"/>
        </w:rPr>
        <w:t xml:space="preserve">la demande </w:t>
      </w:r>
      <w:r>
        <w:rPr>
          <w:rFonts w:cs="Arial"/>
          <w:sz w:val="24"/>
          <w:szCs w:val="24"/>
        </w:rPr>
        <w:t>et joindre le fichier dans l’outil d’enquête</w:t>
      </w:r>
      <w:r w:rsidR="0006046A" w:rsidRPr="00E22E66">
        <w:rPr>
          <w:rFonts w:cs="Arial"/>
          <w:sz w:val="24"/>
          <w:szCs w:val="24"/>
        </w:rPr>
        <w:t xml:space="preserve"> </w:t>
      </w:r>
      <w:r w:rsidR="0006046A" w:rsidRPr="00E22E66">
        <w:rPr>
          <w:rFonts w:cs="Arial"/>
          <w:b/>
          <w:color w:val="FF0000"/>
          <w:sz w:val="24"/>
          <w:szCs w:val="24"/>
        </w:rPr>
        <w:t xml:space="preserve">avant le </w:t>
      </w:r>
      <w:r w:rsidR="000804F8">
        <w:rPr>
          <w:rFonts w:cs="Arial"/>
          <w:b/>
          <w:color w:val="FF0000"/>
          <w:sz w:val="24"/>
          <w:szCs w:val="24"/>
        </w:rPr>
        <w:t>3</w:t>
      </w:r>
      <w:r w:rsidR="007D4D2E">
        <w:rPr>
          <w:rFonts w:cs="Arial"/>
          <w:b/>
          <w:color w:val="FF0000"/>
          <w:sz w:val="24"/>
          <w:szCs w:val="24"/>
        </w:rPr>
        <w:t xml:space="preserve"> </w:t>
      </w:r>
      <w:r w:rsidR="000804F8">
        <w:rPr>
          <w:rFonts w:cs="Arial"/>
          <w:b/>
          <w:color w:val="FF0000"/>
          <w:sz w:val="24"/>
          <w:szCs w:val="24"/>
        </w:rPr>
        <w:t>octobre</w:t>
      </w:r>
      <w:r w:rsidR="0006046A" w:rsidRPr="00E22E66">
        <w:rPr>
          <w:rFonts w:cs="Arial"/>
          <w:b/>
          <w:color w:val="FF0000"/>
          <w:sz w:val="24"/>
          <w:szCs w:val="24"/>
        </w:rPr>
        <w:t xml:space="preserve"> 20</w:t>
      </w:r>
      <w:r w:rsidR="00E33FAC">
        <w:rPr>
          <w:rFonts w:cs="Arial"/>
          <w:b/>
          <w:color w:val="FF0000"/>
          <w:sz w:val="24"/>
          <w:szCs w:val="24"/>
        </w:rPr>
        <w:t>2</w:t>
      </w:r>
      <w:r w:rsidR="00DB514C">
        <w:rPr>
          <w:rFonts w:cs="Arial"/>
          <w:b/>
          <w:color w:val="FF0000"/>
          <w:sz w:val="24"/>
          <w:szCs w:val="24"/>
        </w:rPr>
        <w:t>4</w:t>
      </w:r>
      <w:r w:rsidR="009C6E5F">
        <w:rPr>
          <w:rFonts w:cs="Arial"/>
          <w:b/>
          <w:color w:val="FF0000"/>
          <w:sz w:val="24"/>
          <w:szCs w:val="24"/>
        </w:rPr>
        <w:t>.</w:t>
      </w:r>
    </w:p>
    <w:p w14:paraId="19868C33" w14:textId="77777777" w:rsidR="007D4D2E" w:rsidRPr="00E22E66" w:rsidRDefault="000804F8" w:rsidP="007D4D2E">
      <w:pPr>
        <w:spacing w:after="120" w:line="240" w:lineRule="auto"/>
        <w:jc w:val="both"/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>Si possible, l</w:t>
      </w:r>
      <w:r w:rsidR="007D4D2E">
        <w:rPr>
          <w:rFonts w:cs="Arial"/>
          <w:color w:val="FF0000"/>
          <w:sz w:val="24"/>
          <w:szCs w:val="24"/>
        </w:rPr>
        <w:t xml:space="preserve">es financements Mica </w:t>
      </w:r>
      <w:r>
        <w:rPr>
          <w:rFonts w:cs="Arial"/>
          <w:color w:val="FF0000"/>
          <w:sz w:val="24"/>
          <w:szCs w:val="24"/>
        </w:rPr>
        <w:t xml:space="preserve">pourront être </w:t>
      </w:r>
      <w:r w:rsidR="007D4D2E">
        <w:rPr>
          <w:rFonts w:cs="Arial"/>
          <w:color w:val="FF0000"/>
          <w:sz w:val="24"/>
          <w:szCs w:val="24"/>
        </w:rPr>
        <w:t>versés en anticipation dès cet automne pour pouvoir acheter fin 202</w:t>
      </w:r>
      <w:r w:rsidR="00DB514C">
        <w:rPr>
          <w:rFonts w:cs="Arial"/>
          <w:color w:val="FF0000"/>
          <w:sz w:val="24"/>
          <w:szCs w:val="24"/>
        </w:rPr>
        <w:t>4</w:t>
      </w:r>
      <w:r>
        <w:rPr>
          <w:rFonts w:cs="Arial"/>
          <w:color w:val="FF0000"/>
          <w:sz w:val="24"/>
          <w:szCs w:val="24"/>
        </w:rPr>
        <w:t>, sinon en 202</w:t>
      </w:r>
      <w:r w:rsidR="00DB514C">
        <w:rPr>
          <w:rFonts w:cs="Arial"/>
          <w:color w:val="FF0000"/>
          <w:sz w:val="24"/>
          <w:szCs w:val="24"/>
        </w:rPr>
        <w:t>5</w:t>
      </w:r>
      <w:r>
        <w:rPr>
          <w:rFonts w:cs="Arial"/>
          <w:color w:val="FF0000"/>
          <w:sz w:val="24"/>
          <w:szCs w:val="24"/>
        </w:rPr>
        <w:t>.</w:t>
      </w:r>
    </w:p>
    <w:p w14:paraId="59BD3893" w14:textId="307610EF" w:rsidR="005D69E5" w:rsidRPr="0006046A" w:rsidRDefault="0081446C" w:rsidP="005D69E5">
      <w:pPr>
        <w:spacing w:after="120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3A5AEF">
        <w:rPr>
          <w:b/>
          <w:sz w:val="24"/>
          <w:szCs w:val="24"/>
        </w:rPr>
        <w:lastRenderedPageBreak/>
        <w:t>Acronyme</w:t>
      </w:r>
      <w:r w:rsidR="005D69E5" w:rsidRPr="0010427B">
        <w:rPr>
          <w:b/>
          <w:sz w:val="24"/>
          <w:szCs w:val="24"/>
        </w:rPr>
        <w:t xml:space="preserve"> </w:t>
      </w:r>
      <w:r w:rsidR="0006046A">
        <w:rPr>
          <w:b/>
          <w:sz w:val="24"/>
          <w:szCs w:val="24"/>
        </w:rPr>
        <w:t xml:space="preserve">et numéro codique </w:t>
      </w:r>
      <w:r w:rsidR="005D69E5" w:rsidRPr="0010427B">
        <w:rPr>
          <w:b/>
          <w:sz w:val="24"/>
          <w:szCs w:val="24"/>
        </w:rPr>
        <w:t xml:space="preserve">de votre Unité : </w:t>
      </w:r>
      <w:r w:rsidR="0006046A">
        <w:rPr>
          <w:b/>
          <w:sz w:val="24"/>
          <w:szCs w:val="24"/>
        </w:rPr>
        <w:t xml:space="preserve"> </w:t>
      </w:r>
      <w:r w:rsidR="00C37ADA">
        <w:rPr>
          <w:sz w:val="24"/>
          <w:szCs w:val="24"/>
          <w:shd w:val="clear" w:color="auto" w:fill="E0E0E0"/>
        </w:rPr>
        <w:t>TBI UMR 0792</w:t>
      </w:r>
    </w:p>
    <w:p w14:paraId="4B303425" w14:textId="77777777" w:rsidR="00420B92" w:rsidRPr="00420B92" w:rsidRDefault="005D69E5" w:rsidP="00F05289">
      <w:pPr>
        <w:spacing w:after="120"/>
        <w:rPr>
          <w:sz w:val="24"/>
          <w:szCs w:val="24"/>
        </w:rPr>
      </w:pPr>
      <w:r w:rsidRPr="0010427B">
        <w:rPr>
          <w:b/>
          <w:sz w:val="24"/>
          <w:szCs w:val="24"/>
        </w:rPr>
        <w:t>A</w:t>
      </w:r>
      <w:r w:rsidR="008F6E35">
        <w:rPr>
          <w:b/>
          <w:sz w:val="24"/>
          <w:szCs w:val="24"/>
        </w:rPr>
        <w:t xml:space="preserve">nimateur(s) </w:t>
      </w:r>
      <w:r w:rsidRPr="0010427B">
        <w:rPr>
          <w:b/>
          <w:sz w:val="24"/>
          <w:szCs w:val="24"/>
        </w:rPr>
        <w:t>Q</w:t>
      </w:r>
      <w:r w:rsidR="008F6E35">
        <w:rPr>
          <w:b/>
          <w:sz w:val="24"/>
          <w:szCs w:val="24"/>
        </w:rPr>
        <w:t>ualité</w:t>
      </w:r>
      <w:r w:rsidRPr="0010427B">
        <w:rPr>
          <w:b/>
          <w:sz w:val="24"/>
          <w:szCs w:val="24"/>
        </w:rPr>
        <w:t xml:space="preserve"> : </w:t>
      </w:r>
      <w:r w:rsidR="0006046A" w:rsidRPr="0006046A">
        <w:rPr>
          <w:sz w:val="24"/>
          <w:szCs w:val="24"/>
          <w:shd w:val="clear" w:color="auto" w:fill="E0E0E0"/>
        </w:rPr>
        <w:t>-----------------------------------------------------------------------</w:t>
      </w:r>
    </w:p>
    <w:p w14:paraId="134D59FE" w14:textId="77777777" w:rsidR="00340446" w:rsidRDefault="00340446" w:rsidP="004663F3">
      <w:pPr>
        <w:pStyle w:val="Paragraphedeliste"/>
        <w:tabs>
          <w:tab w:val="left" w:pos="360"/>
          <w:tab w:val="left" w:pos="8640"/>
        </w:tabs>
        <w:spacing w:before="120" w:after="0" w:line="240" w:lineRule="auto"/>
        <w:ind w:left="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Nom du projet :</w:t>
      </w:r>
    </w:p>
    <w:p w14:paraId="198223FE" w14:textId="77777777" w:rsidR="00340446" w:rsidRDefault="00340446" w:rsidP="0034044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8640"/>
        </w:tabs>
        <w:spacing w:before="120" w:after="0" w:line="240" w:lineRule="auto"/>
        <w:ind w:left="0"/>
        <w:contextualSpacing w:val="0"/>
        <w:rPr>
          <w:b/>
          <w:sz w:val="24"/>
          <w:szCs w:val="24"/>
        </w:rPr>
      </w:pPr>
    </w:p>
    <w:p w14:paraId="30AB7C06" w14:textId="77777777" w:rsidR="00274AB5" w:rsidRDefault="00274AB5" w:rsidP="0034044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8640"/>
        </w:tabs>
        <w:spacing w:before="120" w:after="0" w:line="240" w:lineRule="auto"/>
        <w:ind w:left="0"/>
        <w:contextualSpacing w:val="0"/>
        <w:rPr>
          <w:b/>
          <w:sz w:val="24"/>
          <w:szCs w:val="24"/>
        </w:rPr>
      </w:pPr>
    </w:p>
    <w:p w14:paraId="3DC1C739" w14:textId="77777777" w:rsidR="00092682" w:rsidRDefault="00340446" w:rsidP="00AB7B36">
      <w:pPr>
        <w:pStyle w:val="Paragraphedeliste"/>
        <w:tabs>
          <w:tab w:val="left" w:pos="360"/>
          <w:tab w:val="left" w:pos="8640"/>
        </w:tabs>
        <w:spacing w:before="240" w:after="0" w:line="240" w:lineRule="auto"/>
        <w:ind w:left="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Description</w:t>
      </w:r>
      <w:r w:rsidR="00092682" w:rsidRPr="00092682">
        <w:rPr>
          <w:b/>
          <w:sz w:val="24"/>
          <w:szCs w:val="24"/>
        </w:rPr>
        <w:t xml:space="preserve"> </w:t>
      </w:r>
      <w:r w:rsidR="00092682">
        <w:rPr>
          <w:b/>
          <w:sz w:val="24"/>
          <w:szCs w:val="24"/>
        </w:rPr>
        <w:t>du projet</w:t>
      </w:r>
      <w:r>
        <w:rPr>
          <w:b/>
          <w:sz w:val="24"/>
          <w:szCs w:val="24"/>
        </w:rPr>
        <w:t>, pertinence</w:t>
      </w:r>
      <w:r w:rsidR="00092682">
        <w:rPr>
          <w:b/>
          <w:sz w:val="24"/>
          <w:szCs w:val="24"/>
        </w:rPr>
        <w:t xml:space="preserve"> </w:t>
      </w:r>
      <w:r w:rsidR="00E951B2">
        <w:rPr>
          <w:b/>
          <w:sz w:val="24"/>
          <w:szCs w:val="24"/>
        </w:rPr>
        <w:t xml:space="preserve">et attendus </w:t>
      </w:r>
      <w:r w:rsidR="00092682" w:rsidRPr="00092682">
        <w:rPr>
          <w:sz w:val="24"/>
          <w:szCs w:val="24"/>
        </w:rPr>
        <w:t>(</w:t>
      </w:r>
      <w:r w:rsidR="00E951B2">
        <w:rPr>
          <w:sz w:val="24"/>
          <w:szCs w:val="24"/>
        </w:rPr>
        <w:t xml:space="preserve">vis-à-vis de la démarche qualité de l’unité, la </w:t>
      </w:r>
      <w:r w:rsidR="00092682" w:rsidRPr="00092682">
        <w:rPr>
          <w:sz w:val="24"/>
          <w:szCs w:val="24"/>
        </w:rPr>
        <w:t xml:space="preserve">mutualisation entre équipes, </w:t>
      </w:r>
      <w:r w:rsidR="00E951B2">
        <w:rPr>
          <w:sz w:val="24"/>
          <w:szCs w:val="24"/>
        </w:rPr>
        <w:t xml:space="preserve">l’absence </w:t>
      </w:r>
      <w:r w:rsidR="00092682" w:rsidRPr="00092682">
        <w:rPr>
          <w:sz w:val="24"/>
          <w:szCs w:val="24"/>
        </w:rPr>
        <w:t>d’équivalent sur le Centre</w:t>
      </w:r>
      <w:r w:rsidR="00AB7B36">
        <w:rPr>
          <w:sz w:val="24"/>
          <w:szCs w:val="24"/>
        </w:rPr>
        <w:t xml:space="preserve">, la </w:t>
      </w:r>
      <w:r w:rsidR="00092682" w:rsidRPr="00092682">
        <w:rPr>
          <w:sz w:val="24"/>
          <w:szCs w:val="24"/>
        </w:rPr>
        <w:t xml:space="preserve">plus-value pour </w:t>
      </w:r>
      <w:r w:rsidR="00D27880" w:rsidRPr="00092682">
        <w:rPr>
          <w:sz w:val="24"/>
          <w:szCs w:val="24"/>
        </w:rPr>
        <w:t>l’</w:t>
      </w:r>
      <w:r w:rsidR="00D27880">
        <w:rPr>
          <w:sz w:val="24"/>
          <w:szCs w:val="24"/>
        </w:rPr>
        <w:t>u</w:t>
      </w:r>
      <w:r w:rsidR="00D27880" w:rsidRPr="00092682">
        <w:rPr>
          <w:sz w:val="24"/>
          <w:szCs w:val="24"/>
        </w:rPr>
        <w:t>nité</w:t>
      </w:r>
      <w:r w:rsidR="00D27880">
        <w:rPr>
          <w:sz w:val="24"/>
          <w:szCs w:val="24"/>
        </w:rPr>
        <w:t>…</w:t>
      </w:r>
      <w:r w:rsidR="00092682" w:rsidRPr="00092682">
        <w:rPr>
          <w:sz w:val="24"/>
          <w:szCs w:val="24"/>
        </w:rPr>
        <w:t>)</w:t>
      </w:r>
      <w:r w:rsidR="00092682">
        <w:rPr>
          <w:b/>
          <w:sz w:val="24"/>
          <w:szCs w:val="24"/>
        </w:rPr>
        <w:t> :</w:t>
      </w:r>
    </w:p>
    <w:p w14:paraId="4E04B5C4" w14:textId="77777777" w:rsidR="00F41773" w:rsidRPr="00E951B2" w:rsidRDefault="000E452C" w:rsidP="004663F3">
      <w:pPr>
        <w:pStyle w:val="Paragraphedeliste"/>
        <w:tabs>
          <w:tab w:val="left" w:pos="360"/>
          <w:tab w:val="left" w:pos="8640"/>
        </w:tabs>
        <w:spacing w:before="120" w:after="0" w:line="240" w:lineRule="auto"/>
        <w:ind w:left="0"/>
        <w:contextualSpacing w:val="0"/>
        <w:rPr>
          <w:b/>
          <w:i/>
          <w:color w:val="FF0000"/>
          <w:sz w:val="24"/>
          <w:szCs w:val="24"/>
        </w:rPr>
      </w:pPr>
      <w:r w:rsidRPr="00E951B2">
        <w:rPr>
          <w:b/>
          <w:i/>
          <w:sz w:val="24"/>
          <w:szCs w:val="24"/>
        </w:rPr>
        <w:t>20</w:t>
      </w:r>
      <w:r w:rsidR="00340446" w:rsidRPr="00E951B2">
        <w:rPr>
          <w:b/>
          <w:i/>
          <w:sz w:val="24"/>
          <w:szCs w:val="24"/>
        </w:rPr>
        <w:t>-25</w:t>
      </w:r>
      <w:r w:rsidRPr="00E951B2">
        <w:rPr>
          <w:b/>
          <w:i/>
          <w:sz w:val="24"/>
          <w:szCs w:val="24"/>
        </w:rPr>
        <w:t xml:space="preserve"> lignes maximum</w:t>
      </w:r>
      <w:r w:rsidR="00820AFF" w:rsidRPr="00E951B2">
        <w:rPr>
          <w:b/>
          <w:i/>
          <w:sz w:val="24"/>
          <w:szCs w:val="24"/>
        </w:rPr>
        <w:t xml:space="preserve">  </w:t>
      </w:r>
    </w:p>
    <w:p w14:paraId="25BDF4CD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36512BA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578C0A2A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326EC79F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5EECFAD9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446039BD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3A93D882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54E5CCB1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EEA777F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53F70AC4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4764F3EB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6EE5BBC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141FB37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5B4F1E22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543DE31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17AFA298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47FD5BD0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5DB8160C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7A32C23E" w14:textId="77777777" w:rsidR="00340446" w:rsidRDefault="00340446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852B658" w14:textId="77777777" w:rsidR="00420B92" w:rsidRPr="004663F3" w:rsidRDefault="00420B92" w:rsidP="00420B92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6829FE25" w14:textId="77777777" w:rsidR="00420B92" w:rsidRDefault="00420B92" w:rsidP="00420B92">
      <w:pPr>
        <w:pStyle w:val="Paragraphedeliste"/>
        <w:tabs>
          <w:tab w:val="left" w:pos="360"/>
          <w:tab w:val="left" w:pos="8640"/>
        </w:tabs>
        <w:spacing w:after="0" w:line="120" w:lineRule="exact"/>
        <w:ind w:left="0"/>
        <w:rPr>
          <w:b/>
          <w:sz w:val="24"/>
          <w:szCs w:val="24"/>
        </w:rPr>
      </w:pPr>
    </w:p>
    <w:p w14:paraId="2E07C9C7" w14:textId="77777777" w:rsidR="00274AB5" w:rsidRDefault="00274AB5" w:rsidP="00340446">
      <w:pPr>
        <w:pStyle w:val="Paragraphedeliste"/>
        <w:tabs>
          <w:tab w:val="left" w:pos="360"/>
          <w:tab w:val="left" w:pos="8640"/>
        </w:tabs>
        <w:spacing w:before="360" w:after="0" w:line="240" w:lineRule="auto"/>
        <w:ind w:left="0"/>
        <w:rPr>
          <w:b/>
          <w:sz w:val="24"/>
          <w:szCs w:val="24"/>
        </w:rPr>
      </w:pPr>
    </w:p>
    <w:p w14:paraId="7BD4A630" w14:textId="77777777" w:rsidR="00163BA3" w:rsidRPr="00E951B2" w:rsidRDefault="00340446" w:rsidP="00340446">
      <w:pPr>
        <w:pStyle w:val="Paragraphedeliste"/>
        <w:tabs>
          <w:tab w:val="left" w:pos="360"/>
          <w:tab w:val="left" w:pos="8640"/>
        </w:tabs>
        <w:spacing w:before="360" w:after="0" w:line="240" w:lineRule="auto"/>
        <w:ind w:left="0"/>
        <w:rPr>
          <w:sz w:val="24"/>
          <w:szCs w:val="24"/>
          <w:shd w:val="clear" w:color="auto" w:fill="E0E0E0"/>
        </w:rPr>
      </w:pPr>
      <w:r>
        <w:rPr>
          <w:b/>
          <w:sz w:val="24"/>
          <w:szCs w:val="24"/>
        </w:rPr>
        <w:t>Coût du projet</w:t>
      </w:r>
      <w:r w:rsidR="00DA6DC1">
        <w:rPr>
          <w:b/>
          <w:sz w:val="24"/>
          <w:szCs w:val="24"/>
        </w:rPr>
        <w:t xml:space="preserve"> : </w:t>
      </w:r>
      <w:r w:rsidR="00DA6DC1" w:rsidRPr="00E951B2">
        <w:rPr>
          <w:sz w:val="24"/>
          <w:szCs w:val="24"/>
        </w:rPr>
        <w:t xml:space="preserve">détail, total </w:t>
      </w:r>
      <w:r w:rsidRPr="00E951B2">
        <w:rPr>
          <w:sz w:val="24"/>
          <w:szCs w:val="24"/>
        </w:rPr>
        <w:t xml:space="preserve">et </w:t>
      </w:r>
      <w:r w:rsidR="00854E44">
        <w:rPr>
          <w:sz w:val="24"/>
          <w:szCs w:val="24"/>
        </w:rPr>
        <w:t>montant demandé au Département MICA</w:t>
      </w:r>
      <w:r w:rsidR="00513E5D">
        <w:rPr>
          <w:sz w:val="24"/>
          <w:szCs w:val="24"/>
        </w:rPr>
        <w:br/>
      </w:r>
      <w:r w:rsidR="00513E5D">
        <w:rPr>
          <w:color w:val="FF0000"/>
          <w:sz w:val="24"/>
          <w:szCs w:val="24"/>
        </w:rPr>
        <w:t>P</w:t>
      </w:r>
      <w:r w:rsidR="00E951B2" w:rsidRPr="00E951B2">
        <w:rPr>
          <w:color w:val="FF0000"/>
          <w:sz w:val="24"/>
          <w:szCs w:val="24"/>
        </w:rPr>
        <w:t>ensez à joindre les devis</w:t>
      </w:r>
      <w:r w:rsidR="00513E5D">
        <w:rPr>
          <w:color w:val="FF0000"/>
          <w:sz w:val="24"/>
          <w:szCs w:val="24"/>
        </w:rPr>
        <w:t> !</w:t>
      </w:r>
    </w:p>
    <w:p w14:paraId="27F889E8" w14:textId="77777777" w:rsidR="00F41773" w:rsidRPr="004663F3" w:rsidRDefault="00F41773" w:rsidP="000E452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04CF5689" w14:textId="77777777" w:rsidR="00163BA3" w:rsidRPr="004663F3" w:rsidRDefault="00163BA3" w:rsidP="000E452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213783AA" w14:textId="77777777" w:rsidR="00163BA3" w:rsidRPr="004663F3" w:rsidRDefault="00163BA3" w:rsidP="000E452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69C2C594" w14:textId="77777777" w:rsidR="00163BA3" w:rsidRPr="004663F3" w:rsidRDefault="00163BA3" w:rsidP="000E452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8640"/>
        </w:tabs>
        <w:spacing w:after="0" w:line="240" w:lineRule="auto"/>
        <w:ind w:left="0"/>
        <w:rPr>
          <w:szCs w:val="24"/>
        </w:rPr>
      </w:pPr>
    </w:p>
    <w:p w14:paraId="7022C123" w14:textId="77777777" w:rsidR="00420B92" w:rsidRDefault="00420B92" w:rsidP="00420B92">
      <w:pPr>
        <w:pStyle w:val="Paragraphedeliste"/>
        <w:tabs>
          <w:tab w:val="left" w:pos="360"/>
          <w:tab w:val="left" w:pos="8640"/>
        </w:tabs>
        <w:spacing w:after="0" w:line="120" w:lineRule="exact"/>
        <w:ind w:left="0"/>
        <w:rPr>
          <w:b/>
          <w:sz w:val="24"/>
          <w:szCs w:val="24"/>
        </w:rPr>
      </w:pPr>
    </w:p>
    <w:p w14:paraId="00585E05" w14:textId="77777777" w:rsidR="00222D88" w:rsidRDefault="00222D88" w:rsidP="004663F3">
      <w:pPr>
        <w:pStyle w:val="Paragraphedeliste"/>
        <w:tabs>
          <w:tab w:val="left" w:pos="360"/>
          <w:tab w:val="left" w:pos="8640"/>
        </w:tabs>
        <w:spacing w:after="0" w:line="240" w:lineRule="auto"/>
        <w:ind w:left="0"/>
        <w:rPr>
          <w:b/>
          <w:sz w:val="24"/>
          <w:szCs w:val="24"/>
        </w:rPr>
      </w:pPr>
    </w:p>
    <w:sectPr w:rsidR="00222D88" w:rsidSect="00274AB5">
      <w:headerReference w:type="default" r:id="rId7"/>
      <w:footerReference w:type="default" r:id="rId8"/>
      <w:pgSz w:w="11906" w:h="16838"/>
      <w:pgMar w:top="1134" w:right="851" w:bottom="1134" w:left="1134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33552" w14:textId="77777777" w:rsidR="008E3478" w:rsidRDefault="008E3478">
      <w:r>
        <w:separator/>
      </w:r>
    </w:p>
  </w:endnote>
  <w:endnote w:type="continuationSeparator" w:id="0">
    <w:p w14:paraId="677A6D88" w14:textId="77777777" w:rsidR="008E3478" w:rsidRDefault="008E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E32A" w14:textId="77777777" w:rsidR="008E3478" w:rsidRDefault="00E407D3">
    <w:pPr>
      <w:ind w:left="-993"/>
    </w:pPr>
    <w:r>
      <w:rPr>
        <w:rFonts w:ascii="Century Gothic" w:hAnsi="Century Gothic"/>
        <w:b/>
        <w:bCs/>
        <w:noProof/>
        <w:color w:val="A3000A"/>
        <w:szCs w:val="44"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AF977A" wp14:editId="03532AB8">
              <wp:simplePos x="0" y="0"/>
              <wp:positionH relativeFrom="column">
                <wp:posOffset>-692150</wp:posOffset>
              </wp:positionH>
              <wp:positionV relativeFrom="paragraph">
                <wp:posOffset>-90805</wp:posOffset>
              </wp:positionV>
              <wp:extent cx="6953885" cy="0"/>
              <wp:effectExtent l="12700" t="13970" r="5715" b="508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38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2E6B0E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.5pt,-7.15pt" to="493.0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3/EwIAACg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" strokecolor="maroon" strokeweight=".5pt"/>
          </w:pict>
        </mc:Fallback>
      </mc:AlternateContent>
    </w:r>
    <w:r w:rsidR="00854E44">
      <w:rPr>
        <w:rFonts w:ascii="Century Gothic" w:hAnsi="Century Gothic"/>
        <w:b/>
        <w:bCs/>
        <w:color w:val="A3000A"/>
        <w:szCs w:val="44"/>
      </w:rPr>
      <w:t xml:space="preserve">          </w:t>
    </w:r>
    <w:proofErr w:type="spellStart"/>
    <w:r w:rsidR="008E3478">
      <w:rPr>
        <w:rFonts w:ascii="Century Gothic" w:hAnsi="Century Gothic"/>
        <w:b/>
        <w:bCs/>
        <w:color w:val="A3000A"/>
        <w:szCs w:val="44"/>
      </w:rPr>
      <w:t>MICAlité</w:t>
    </w:r>
    <w:proofErr w:type="spellEnd"/>
    <w:r w:rsidR="008E3478">
      <w:rPr>
        <w:rFonts w:ascii="Century Gothic" w:hAnsi="Century Gothic"/>
        <w:b/>
        <w:bCs/>
        <w:color w:val="A3000A"/>
        <w:szCs w:val="44"/>
      </w:rPr>
      <w:t xml:space="preserve"> </w:t>
    </w:r>
    <w:r w:rsidR="008E3478">
      <w:rPr>
        <w:i/>
        <w:iCs/>
        <w:sz w:val="14"/>
      </w:rPr>
      <w:t>La démarche qualité au sein du département MICA</w:t>
    </w:r>
    <w:r w:rsidR="008E3478">
      <w:rPr>
        <w:sz w:val="14"/>
      </w:rPr>
      <w:tab/>
    </w:r>
    <w:r w:rsidR="008E3478">
      <w:rPr>
        <w:sz w:val="14"/>
      </w:rPr>
      <w:tab/>
    </w:r>
    <w:r w:rsidR="008E3478">
      <w:rPr>
        <w:sz w:val="14"/>
      </w:rPr>
      <w:tab/>
    </w:r>
    <w:r w:rsidR="008E3478">
      <w:rPr>
        <w:sz w:val="14"/>
      </w:rPr>
      <w:tab/>
    </w:r>
    <w:r w:rsidR="008E3478">
      <w:rPr>
        <w:sz w:val="14"/>
      </w:rPr>
      <w:tab/>
    </w:r>
    <w:r w:rsidR="008E3478">
      <w:rPr>
        <w:sz w:val="14"/>
      </w:rPr>
      <w:tab/>
    </w:r>
    <w:r w:rsidR="008E3478">
      <w:rPr>
        <w:sz w:val="14"/>
      </w:rPr>
      <w:tab/>
    </w:r>
    <w:r w:rsidR="008E3478">
      <w:rPr>
        <w:sz w:val="14"/>
      </w:rPr>
      <w:tab/>
    </w:r>
    <w:r w:rsidR="00A773B2">
      <w:rPr>
        <w:sz w:val="14"/>
      </w:rPr>
      <w:fldChar w:fldCharType="begin"/>
    </w:r>
    <w:r w:rsidR="008E3478">
      <w:rPr>
        <w:sz w:val="14"/>
      </w:rPr>
      <w:instrText xml:space="preserve"> TIME \@ "dd/MM/yy" </w:instrText>
    </w:r>
    <w:r w:rsidR="00A773B2">
      <w:rPr>
        <w:sz w:val="14"/>
      </w:rPr>
      <w:fldChar w:fldCharType="separate"/>
    </w:r>
    <w:r w:rsidR="0075692D">
      <w:rPr>
        <w:noProof/>
        <w:sz w:val="14"/>
      </w:rPr>
      <w:t>16/07/24</w:t>
    </w:r>
    <w:r w:rsidR="00A773B2">
      <w:rPr>
        <w:sz w:val="14"/>
      </w:rPr>
      <w:fldChar w:fldCharType="end"/>
    </w:r>
    <w:r w:rsidR="008E3478">
      <w:rPr>
        <w:sz w:val="14"/>
      </w:rPr>
      <w:t xml:space="preserve">  - p </w:t>
    </w:r>
    <w:r w:rsidR="00A773B2">
      <w:rPr>
        <w:rStyle w:val="Numrodepage"/>
        <w:sz w:val="14"/>
      </w:rPr>
      <w:fldChar w:fldCharType="begin"/>
    </w:r>
    <w:r w:rsidR="008E3478">
      <w:rPr>
        <w:rStyle w:val="Numrodepage"/>
        <w:sz w:val="14"/>
      </w:rPr>
      <w:instrText xml:space="preserve"> PAGE </w:instrText>
    </w:r>
    <w:r w:rsidR="00A773B2">
      <w:rPr>
        <w:rStyle w:val="Numrodepage"/>
        <w:sz w:val="14"/>
      </w:rPr>
      <w:fldChar w:fldCharType="separate"/>
    </w:r>
    <w:r w:rsidR="00E33FAC">
      <w:rPr>
        <w:rStyle w:val="Numrodepage"/>
        <w:noProof/>
        <w:sz w:val="14"/>
      </w:rPr>
      <w:t>1</w:t>
    </w:r>
    <w:r w:rsidR="00A773B2">
      <w:rPr>
        <w:rStyle w:val="Numrodepage"/>
        <w:sz w:val="14"/>
      </w:rPr>
      <w:fldChar w:fldCharType="end"/>
    </w:r>
    <w:r w:rsidR="008E3478">
      <w:rPr>
        <w:rStyle w:val="Numrodepage"/>
        <w:sz w:val="14"/>
      </w:rPr>
      <w:t>/</w:t>
    </w:r>
    <w:r w:rsidR="00A773B2">
      <w:rPr>
        <w:rStyle w:val="Numrodepage"/>
        <w:sz w:val="14"/>
      </w:rPr>
      <w:fldChar w:fldCharType="begin"/>
    </w:r>
    <w:r w:rsidR="008E3478">
      <w:rPr>
        <w:rStyle w:val="Numrodepage"/>
        <w:sz w:val="14"/>
      </w:rPr>
      <w:instrText xml:space="preserve"> NUMPAGES </w:instrText>
    </w:r>
    <w:r w:rsidR="00A773B2">
      <w:rPr>
        <w:rStyle w:val="Numrodepage"/>
        <w:sz w:val="14"/>
      </w:rPr>
      <w:fldChar w:fldCharType="separate"/>
    </w:r>
    <w:r w:rsidR="00E33FAC">
      <w:rPr>
        <w:rStyle w:val="Numrodepage"/>
        <w:noProof/>
        <w:sz w:val="14"/>
      </w:rPr>
      <w:t>2</w:t>
    </w:r>
    <w:r w:rsidR="00A773B2">
      <w:rPr>
        <w:rStyle w:val="Numrodepage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B947F" w14:textId="77777777" w:rsidR="008E3478" w:rsidRDefault="008E3478">
      <w:r>
        <w:separator/>
      </w:r>
    </w:p>
  </w:footnote>
  <w:footnote w:type="continuationSeparator" w:id="0">
    <w:p w14:paraId="7106DD24" w14:textId="77777777" w:rsidR="008E3478" w:rsidRDefault="008E3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71F30" w14:textId="77777777" w:rsidR="008E3478" w:rsidRDefault="00D54D4A" w:rsidP="00854E44">
    <w:pPr>
      <w:pStyle w:val="En-tte"/>
      <w:ind w:left="-993"/>
      <w:jc w:val="center"/>
    </w:pP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06E68858" wp14:editId="55095256">
          <wp:simplePos x="0" y="0"/>
          <wp:positionH relativeFrom="column">
            <wp:posOffset>4280535</wp:posOffset>
          </wp:positionH>
          <wp:positionV relativeFrom="paragraph">
            <wp:posOffset>161290</wp:posOffset>
          </wp:positionV>
          <wp:extent cx="1981200" cy="676275"/>
          <wp:effectExtent l="19050" t="0" r="0" b="0"/>
          <wp:wrapNone/>
          <wp:docPr id="1" name="Picture 64" descr="Logo Micali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Logo Micalité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7"/>
                      </a:clrFrom>
                      <a:clrTo>
                        <a:srgbClr val="FFFFF7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1A89A30" wp14:editId="1C300153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6300470" cy="981075"/>
          <wp:effectExtent l="19050" t="0" r="5080" b="0"/>
          <wp:wrapTight wrapText="bothSides">
            <wp:wrapPolygon edited="0">
              <wp:start x="-65" y="0"/>
              <wp:lineTo x="-65" y="21390"/>
              <wp:lineTo x="21617" y="21390"/>
              <wp:lineTo x="21617" y="0"/>
              <wp:lineTo x="-65" y="0"/>
            </wp:wrapPolygon>
          </wp:wrapTight>
          <wp:docPr id="4" name="Image 4" descr="Bandeau MIC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deau MICA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9E4491C" w14:textId="77777777" w:rsidR="008E3478" w:rsidRDefault="008E3478">
    <w:pPr>
      <w:pStyle w:val="En-tte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A56"/>
    <w:multiLevelType w:val="hybridMultilevel"/>
    <w:tmpl w:val="79B0C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F00DD"/>
    <w:multiLevelType w:val="hybridMultilevel"/>
    <w:tmpl w:val="8E4C66B2"/>
    <w:lvl w:ilvl="0" w:tplc="040C000F">
      <w:start w:val="1"/>
      <w:numFmt w:val="decimal"/>
      <w:lvlText w:val="%1."/>
      <w:lvlJc w:val="left"/>
      <w:pPr>
        <w:ind w:left="768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4715529"/>
    <w:multiLevelType w:val="hybridMultilevel"/>
    <w:tmpl w:val="ECB452C8"/>
    <w:lvl w:ilvl="0" w:tplc="2C92518C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6CA3FEE"/>
    <w:multiLevelType w:val="hybridMultilevel"/>
    <w:tmpl w:val="7B5262EC"/>
    <w:lvl w:ilvl="0" w:tplc="040C000F">
      <w:start w:val="1"/>
      <w:numFmt w:val="decimal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2966231"/>
    <w:multiLevelType w:val="hybridMultilevel"/>
    <w:tmpl w:val="8FEE0F32"/>
    <w:lvl w:ilvl="0" w:tplc="E884B2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8E"/>
    <w:rsid w:val="000058BB"/>
    <w:rsid w:val="0006046A"/>
    <w:rsid w:val="000804F8"/>
    <w:rsid w:val="00092682"/>
    <w:rsid w:val="00093D3B"/>
    <w:rsid w:val="000C4CBA"/>
    <w:rsid w:val="000E452C"/>
    <w:rsid w:val="00104D8E"/>
    <w:rsid w:val="001314C4"/>
    <w:rsid w:val="0014281F"/>
    <w:rsid w:val="00163BA3"/>
    <w:rsid w:val="001D3E31"/>
    <w:rsid w:val="001E4695"/>
    <w:rsid w:val="00213D79"/>
    <w:rsid w:val="00215E3A"/>
    <w:rsid w:val="00220263"/>
    <w:rsid w:val="00222D88"/>
    <w:rsid w:val="00251AB9"/>
    <w:rsid w:val="00261319"/>
    <w:rsid w:val="00274AB5"/>
    <w:rsid w:val="00285EEE"/>
    <w:rsid w:val="002A17ED"/>
    <w:rsid w:val="002E06C2"/>
    <w:rsid w:val="00340446"/>
    <w:rsid w:val="0034569D"/>
    <w:rsid w:val="0036626A"/>
    <w:rsid w:val="00383258"/>
    <w:rsid w:val="003A4F2B"/>
    <w:rsid w:val="003A5AEF"/>
    <w:rsid w:val="003F1D8E"/>
    <w:rsid w:val="00420B92"/>
    <w:rsid w:val="00443958"/>
    <w:rsid w:val="004663F3"/>
    <w:rsid w:val="00482189"/>
    <w:rsid w:val="004F3A02"/>
    <w:rsid w:val="00513E5D"/>
    <w:rsid w:val="00562A01"/>
    <w:rsid w:val="005A05E8"/>
    <w:rsid w:val="005A64C8"/>
    <w:rsid w:val="005C2D3C"/>
    <w:rsid w:val="005D69E5"/>
    <w:rsid w:val="006A4666"/>
    <w:rsid w:val="006A57AB"/>
    <w:rsid w:val="006B639F"/>
    <w:rsid w:val="00715C11"/>
    <w:rsid w:val="00735EB6"/>
    <w:rsid w:val="0075692D"/>
    <w:rsid w:val="007D13E7"/>
    <w:rsid w:val="007D4D2E"/>
    <w:rsid w:val="007E21D8"/>
    <w:rsid w:val="00801383"/>
    <w:rsid w:val="0081446C"/>
    <w:rsid w:val="00820AFF"/>
    <w:rsid w:val="00854E44"/>
    <w:rsid w:val="00870667"/>
    <w:rsid w:val="008A3608"/>
    <w:rsid w:val="008E3478"/>
    <w:rsid w:val="008F6E35"/>
    <w:rsid w:val="009007D9"/>
    <w:rsid w:val="00996033"/>
    <w:rsid w:val="009C6E5F"/>
    <w:rsid w:val="009E51A3"/>
    <w:rsid w:val="00A36141"/>
    <w:rsid w:val="00A37B49"/>
    <w:rsid w:val="00A5196E"/>
    <w:rsid w:val="00A773B2"/>
    <w:rsid w:val="00A93A6A"/>
    <w:rsid w:val="00AB7B36"/>
    <w:rsid w:val="00AE1F8F"/>
    <w:rsid w:val="00B078AC"/>
    <w:rsid w:val="00B26157"/>
    <w:rsid w:val="00BB39A6"/>
    <w:rsid w:val="00BB48AF"/>
    <w:rsid w:val="00BC0029"/>
    <w:rsid w:val="00BC1BDA"/>
    <w:rsid w:val="00C33ED5"/>
    <w:rsid w:val="00C37ADA"/>
    <w:rsid w:val="00C46C67"/>
    <w:rsid w:val="00C759E8"/>
    <w:rsid w:val="00CA2A61"/>
    <w:rsid w:val="00CE6173"/>
    <w:rsid w:val="00CF4E9A"/>
    <w:rsid w:val="00D00A3E"/>
    <w:rsid w:val="00D17345"/>
    <w:rsid w:val="00D27880"/>
    <w:rsid w:val="00D33F57"/>
    <w:rsid w:val="00D51A54"/>
    <w:rsid w:val="00D54D4A"/>
    <w:rsid w:val="00D61A92"/>
    <w:rsid w:val="00D74056"/>
    <w:rsid w:val="00D7565A"/>
    <w:rsid w:val="00DA6DC1"/>
    <w:rsid w:val="00DB514C"/>
    <w:rsid w:val="00DB7AB8"/>
    <w:rsid w:val="00DD28BE"/>
    <w:rsid w:val="00E22E66"/>
    <w:rsid w:val="00E33FAC"/>
    <w:rsid w:val="00E407D3"/>
    <w:rsid w:val="00E42443"/>
    <w:rsid w:val="00E951B2"/>
    <w:rsid w:val="00EA46CD"/>
    <w:rsid w:val="00ED5415"/>
    <w:rsid w:val="00F05289"/>
    <w:rsid w:val="00F16F4F"/>
    <w:rsid w:val="00F311D1"/>
    <w:rsid w:val="00F41773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B9F476"/>
  <w15:docId w15:val="{ABEFC8B0-6028-4EFB-A462-9A0BE90C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18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rsid w:val="0048218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3">
    <w:name w:val="heading 3"/>
    <w:basedOn w:val="Normal"/>
    <w:next w:val="Normal"/>
    <w:qFormat/>
    <w:rsid w:val="00482189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482189"/>
    <w:pPr>
      <w:ind w:left="720"/>
      <w:contextualSpacing/>
    </w:pPr>
  </w:style>
  <w:style w:type="character" w:customStyle="1" w:styleId="Titre1Car">
    <w:name w:val="Titre 1 Car"/>
    <w:basedOn w:val="Policepardfaut"/>
    <w:rsid w:val="004821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En-tte">
    <w:name w:val="header"/>
    <w:basedOn w:val="Normal"/>
    <w:rsid w:val="004821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821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2189"/>
  </w:style>
  <w:style w:type="character" w:styleId="Lienhypertexte">
    <w:name w:val="Hyperlink"/>
    <w:basedOn w:val="Policepardfaut"/>
    <w:rsid w:val="00AE1F8F"/>
    <w:rPr>
      <w:color w:val="0000FF"/>
      <w:u w:val="single"/>
    </w:rPr>
  </w:style>
  <w:style w:type="paragraph" w:styleId="PrformatHTML">
    <w:name w:val="HTML Preformatted"/>
    <w:basedOn w:val="Normal"/>
    <w:rsid w:val="00060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styleId="Marquedecommentaire">
    <w:name w:val="annotation reference"/>
    <w:basedOn w:val="Policepardfaut"/>
    <w:rsid w:val="0006046A"/>
    <w:rPr>
      <w:sz w:val="16"/>
      <w:szCs w:val="16"/>
    </w:rPr>
  </w:style>
  <w:style w:type="paragraph" w:styleId="Commentaire">
    <w:name w:val="annotation text"/>
    <w:basedOn w:val="Normal"/>
    <w:link w:val="CommentaireCar"/>
    <w:rsid w:val="000604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6046A"/>
    <w:rPr>
      <w:rFonts w:ascii="Calibri" w:eastAsia="Calibri" w:hAnsi="Calibri"/>
      <w:lang w:val="fr-FR" w:eastAsia="en-US" w:bidi="ar-SA"/>
    </w:rPr>
  </w:style>
  <w:style w:type="paragraph" w:styleId="Textedebulles">
    <w:name w:val="Balloon Text"/>
    <w:basedOn w:val="Normal"/>
    <w:semiHidden/>
    <w:rsid w:val="0006046A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1D3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D3E31"/>
    <w:rPr>
      <w:rFonts w:ascii="Calibri" w:eastAsia="Calibri" w:hAnsi="Calibri"/>
      <w:b/>
      <w:bCs/>
      <w:lang w:val="fr-FR" w:eastAsia="en-US" w:bidi="ar-SA"/>
    </w:rPr>
  </w:style>
  <w:style w:type="table" w:styleId="Grilledutableau">
    <w:name w:val="Table Grid"/>
    <w:basedOn w:val="TableauNormal"/>
    <w:rsid w:val="00222D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brut">
    <w:name w:val="Plain Text"/>
    <w:basedOn w:val="Normal"/>
    <w:link w:val="TextebrutCar"/>
    <w:uiPriority w:val="99"/>
    <w:unhideWhenUsed/>
    <w:rsid w:val="004663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4663F3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Débriefing réunion du 28 octobre 2008</vt:lpstr>
    </vt:vector>
  </TitlesOfParts>
  <Company>Micalis</Company>
  <LinksUpToDate>false</LinksUpToDate>
  <CharactersWithSpaces>2279</CharactersWithSpaces>
  <SharedDoc>false</SharedDoc>
  <HLinks>
    <vt:vector size="6" baseType="variant">
      <vt:variant>
        <vt:i4>4522103</vt:i4>
      </vt:variant>
      <vt:variant>
        <vt:i4>0</vt:i4>
      </vt:variant>
      <vt:variant>
        <vt:i4>0</vt:i4>
      </vt:variant>
      <vt:variant>
        <vt:i4>5</vt:i4>
      </vt:variant>
      <vt:variant>
        <vt:lpwstr>mailto:mica@inra.fr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Débriefing réunion du 28 octobre 2008</dc:title>
  <dc:creator>dcanceill</dc:creator>
  <cp:lastModifiedBy>Nathalie Vettori</cp:lastModifiedBy>
  <cp:revision>3</cp:revision>
  <cp:lastPrinted>2014-07-21T16:24:00Z</cp:lastPrinted>
  <dcterms:created xsi:type="dcterms:W3CDTF">2024-07-16T15:17:00Z</dcterms:created>
  <dcterms:modified xsi:type="dcterms:W3CDTF">2024-07-16T15:17:00Z</dcterms:modified>
</cp:coreProperties>
</file>